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B42" w:rsidRPr="00B57B42" w:rsidRDefault="00C517A2" w:rsidP="00B57B42">
      <w:pPr>
        <w:pStyle w:val="a3"/>
        <w:numPr>
          <w:ilvl w:val="0"/>
          <w:numId w:val="1"/>
        </w:numPr>
        <w:ind w:leftChars="0"/>
        <w:rPr>
          <w:i/>
          <w:szCs w:val="21"/>
        </w:rPr>
      </w:pPr>
      <w:r>
        <w:rPr>
          <w:i/>
          <w:noProof/>
          <w:szCs w:val="21"/>
        </w:rPr>
        <mc:AlternateContent>
          <mc:Choice Requires="wps">
            <w:drawing>
              <wp:anchor distT="0" distB="0" distL="114300" distR="114300" simplePos="0" relativeHeight="251659264" behindDoc="0" locked="0" layoutInCell="1" allowOverlap="1">
                <wp:simplePos x="0" y="0"/>
                <wp:positionH relativeFrom="column">
                  <wp:posOffset>115619</wp:posOffset>
                </wp:positionH>
                <wp:positionV relativeFrom="paragraph">
                  <wp:posOffset>-594263</wp:posOffset>
                </wp:positionV>
                <wp:extent cx="5210908" cy="492369"/>
                <wp:effectExtent l="0" t="0" r="27940" b="22225"/>
                <wp:wrapNone/>
                <wp:docPr id="1" name="テキスト ボックス 1"/>
                <wp:cNvGraphicFramePr/>
                <a:graphic xmlns:a="http://schemas.openxmlformats.org/drawingml/2006/main">
                  <a:graphicData uri="http://schemas.microsoft.com/office/word/2010/wordprocessingShape">
                    <wps:wsp>
                      <wps:cNvSpPr txBox="1"/>
                      <wps:spPr>
                        <a:xfrm>
                          <a:off x="0" y="0"/>
                          <a:ext cx="5210908" cy="4923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17A2" w:rsidRDefault="00C517A2">
                            <w:r>
                              <w:t>“2nd International Conference on Nursing &amp; Healthcare (Nursing-2014)”</w:t>
                            </w:r>
                          </w:p>
                          <w:p w:rsidR="00C517A2" w:rsidRDefault="00C517A2" w:rsidP="00C517A2">
                            <w:pPr>
                              <w:ind w:firstLineChars="100" w:firstLine="210"/>
                            </w:pPr>
                            <w:proofErr w:type="gramStart"/>
                            <w:r>
                              <w:t>November 17-19, 2014 at Chicago, USA.</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9.1pt;margin-top:-46.8pt;width:410.3pt;height:3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" fillcolor="white [3201]" strokeweight=".5pt">
                <v:textbox>
                  <w:txbxContent>
                    <w:p w:rsidR="00C517A2" w:rsidRDefault="00C517A2">
                      <w:pPr>
                        <w:rPr>
                          <w:rFonts w:hint="eastAsia"/>
                        </w:rPr>
                      </w:pPr>
                      <w:r>
                        <w:t>“2nd International Conf</w:t>
                      </w:r>
                      <w:r>
                        <w:t xml:space="preserve">erence on Nursing &amp; Healthcare </w:t>
                      </w:r>
                      <w:r>
                        <w:t>(Nursing-2014)”</w:t>
                      </w:r>
                    </w:p>
                    <w:p w:rsidR="00C517A2" w:rsidRDefault="00C517A2" w:rsidP="00C517A2">
                      <w:pPr>
                        <w:ind w:firstLineChars="100" w:firstLine="210"/>
                      </w:pPr>
                      <w:proofErr w:type="gramStart"/>
                      <w:r>
                        <w:t>Nov</w:t>
                      </w:r>
                      <w:r>
                        <w:t xml:space="preserve">ember 17-19, 2014 at Chicago, </w:t>
                      </w:r>
                      <w:r>
                        <w:t>USA.</w:t>
                      </w:r>
                      <w:proofErr w:type="gramEnd"/>
                    </w:p>
                  </w:txbxContent>
                </v:textbox>
              </v:shape>
            </w:pict>
          </mc:Fallback>
        </mc:AlternateContent>
      </w:r>
      <w:r w:rsidR="00B57B42" w:rsidRPr="00B57B42">
        <w:rPr>
          <w:i/>
          <w:szCs w:val="21"/>
        </w:rPr>
        <w:t>Sessions</w:t>
      </w:r>
    </w:p>
    <w:p w:rsidR="00B57B42" w:rsidRPr="00B57B42" w:rsidRDefault="00B57B42">
      <w:pPr>
        <w:rPr>
          <w:szCs w:val="21"/>
        </w:rPr>
      </w:pPr>
      <w:r w:rsidRPr="00B57B42">
        <w:rPr>
          <w:rFonts w:cs="Arial"/>
          <w:vanish/>
          <w:color w:val="333333"/>
          <w:szCs w:val="21"/>
        </w:rPr>
        <w:t>Track 16-4       Cancer healthcare</w:t>
      </w:r>
      <w:r>
        <w:rPr>
          <w:rFonts w:cs="Arial"/>
          <w:color w:val="333333"/>
          <w:szCs w:val="21"/>
        </w:rPr>
        <w:t>Track 16-4</w:t>
      </w:r>
      <w:r w:rsidR="00AD184E">
        <w:rPr>
          <w:rFonts w:cs="Arial" w:hint="eastAsia"/>
          <w:color w:val="333333"/>
          <w:szCs w:val="21"/>
        </w:rPr>
        <w:t>;</w:t>
      </w:r>
      <w:r>
        <w:rPr>
          <w:rFonts w:cs="Arial"/>
          <w:color w:val="333333"/>
          <w:szCs w:val="21"/>
        </w:rPr>
        <w:t xml:space="preserve"> </w:t>
      </w:r>
      <w:r w:rsidRPr="00B57B42">
        <w:rPr>
          <w:rFonts w:cs="Arial"/>
          <w:color w:val="333333"/>
          <w:szCs w:val="21"/>
        </w:rPr>
        <w:t>Cancer healthcare</w:t>
      </w:r>
    </w:p>
    <w:p w:rsidR="00B57B42" w:rsidRPr="00B57B42" w:rsidRDefault="00B57B42">
      <w:pPr>
        <w:rPr>
          <w:szCs w:val="21"/>
        </w:rPr>
      </w:pPr>
    </w:p>
    <w:p w:rsidR="00B57B42" w:rsidRPr="00B57B42" w:rsidRDefault="00B57B42" w:rsidP="00B57B42">
      <w:pPr>
        <w:pStyle w:val="a3"/>
        <w:numPr>
          <w:ilvl w:val="0"/>
          <w:numId w:val="2"/>
        </w:numPr>
        <w:ind w:leftChars="0"/>
        <w:rPr>
          <w:i/>
          <w:szCs w:val="21"/>
        </w:rPr>
      </w:pPr>
      <w:r w:rsidRPr="00B57B42">
        <w:rPr>
          <w:i/>
          <w:szCs w:val="21"/>
        </w:rPr>
        <w:t>Title</w:t>
      </w:r>
    </w:p>
    <w:p w:rsidR="00B57B42" w:rsidRPr="00B57B42" w:rsidRDefault="00B57B42" w:rsidP="00B57B42">
      <w:pPr>
        <w:rPr>
          <w:szCs w:val="21"/>
        </w:rPr>
      </w:pPr>
      <w:r w:rsidRPr="00B57B42">
        <w:rPr>
          <w:szCs w:val="21"/>
        </w:rPr>
        <w:t>Agreement between patients’ and proxies’ reports of health related quality of life in patients with end-stage lung cancer in Japan</w:t>
      </w:r>
    </w:p>
    <w:p w:rsidR="00B57B42" w:rsidRDefault="00B57B42" w:rsidP="00B57B42">
      <w:pPr>
        <w:rPr>
          <w:szCs w:val="21"/>
        </w:rPr>
      </w:pPr>
    </w:p>
    <w:p w:rsidR="00B57B42" w:rsidRPr="00B57B42" w:rsidRDefault="00B57B42" w:rsidP="00B57B42">
      <w:pPr>
        <w:pStyle w:val="a3"/>
        <w:numPr>
          <w:ilvl w:val="0"/>
          <w:numId w:val="2"/>
        </w:numPr>
        <w:ind w:leftChars="0"/>
        <w:rPr>
          <w:i/>
          <w:szCs w:val="21"/>
        </w:rPr>
      </w:pPr>
      <w:r w:rsidRPr="00B57B42">
        <w:rPr>
          <w:i/>
          <w:szCs w:val="21"/>
        </w:rPr>
        <w:t>Author</w:t>
      </w:r>
    </w:p>
    <w:p w:rsidR="00B57B42" w:rsidRPr="00B57B42" w:rsidRDefault="004811A8" w:rsidP="00B57B42">
      <w:pPr>
        <w:rPr>
          <w:szCs w:val="21"/>
        </w:rPr>
      </w:pPr>
      <w:r>
        <w:rPr>
          <w:szCs w:val="21"/>
        </w:rPr>
        <w:t>Tomoyuki Takura, Tomoko Koike</w:t>
      </w:r>
      <w:r w:rsidR="00B57B42" w:rsidRPr="00B57B42">
        <w:rPr>
          <w:szCs w:val="21"/>
        </w:rPr>
        <w:t xml:space="preserve">, </w:t>
      </w:r>
      <w:proofErr w:type="spellStart"/>
      <w:r w:rsidR="00B57B42" w:rsidRPr="00B57B42">
        <w:rPr>
          <w:szCs w:val="21"/>
        </w:rPr>
        <w:t>Asuko</w:t>
      </w:r>
      <w:proofErr w:type="spellEnd"/>
      <w:r w:rsidR="00B57B42" w:rsidRPr="00B57B42">
        <w:rPr>
          <w:szCs w:val="21"/>
        </w:rPr>
        <w:t xml:space="preserve"> Sekimoto, </w:t>
      </w:r>
      <w:r w:rsidR="00B57B42">
        <w:rPr>
          <w:szCs w:val="21"/>
        </w:rPr>
        <w:t xml:space="preserve">Masami </w:t>
      </w:r>
      <w:proofErr w:type="spellStart"/>
      <w:r w:rsidR="00B57B42">
        <w:rPr>
          <w:szCs w:val="21"/>
        </w:rPr>
        <w:t>Mutou</w:t>
      </w:r>
      <w:proofErr w:type="spellEnd"/>
    </w:p>
    <w:p w:rsidR="00B57B42" w:rsidRPr="00B57B42" w:rsidRDefault="00B57B42" w:rsidP="00B57B42">
      <w:pPr>
        <w:rPr>
          <w:szCs w:val="21"/>
        </w:rPr>
      </w:pPr>
      <w:r w:rsidRPr="00B57B42">
        <w:rPr>
          <w:szCs w:val="21"/>
        </w:rPr>
        <w:t>Professor</w:t>
      </w:r>
      <w:r w:rsidR="00F432FE">
        <w:rPr>
          <w:rFonts w:hint="eastAsia"/>
          <w:szCs w:val="21"/>
        </w:rPr>
        <w:t>, Ph.D.</w:t>
      </w:r>
      <w:bookmarkStart w:id="0" w:name="_GoBack"/>
      <w:bookmarkEnd w:id="0"/>
    </w:p>
    <w:p w:rsidR="00B57B42" w:rsidRPr="00B57B42" w:rsidRDefault="00B57B42" w:rsidP="00B57B42">
      <w:pPr>
        <w:rPr>
          <w:szCs w:val="21"/>
        </w:rPr>
      </w:pPr>
      <w:r w:rsidRPr="00B57B42">
        <w:rPr>
          <w:szCs w:val="21"/>
        </w:rPr>
        <w:t>Osaka University Graduate School of Medicine</w:t>
      </w:r>
    </w:p>
    <w:p w:rsidR="00B57B42" w:rsidRPr="00B57B42" w:rsidRDefault="00B57B42" w:rsidP="00B57B42">
      <w:pPr>
        <w:rPr>
          <w:szCs w:val="21"/>
        </w:rPr>
      </w:pPr>
      <w:r w:rsidRPr="00B57B42">
        <w:rPr>
          <w:szCs w:val="21"/>
        </w:rPr>
        <w:t>Japan</w:t>
      </w:r>
    </w:p>
    <w:p w:rsidR="00B57B42" w:rsidRPr="00B57B42" w:rsidRDefault="00B57B42" w:rsidP="00B57B42">
      <w:pPr>
        <w:rPr>
          <w:szCs w:val="21"/>
        </w:rPr>
      </w:pPr>
      <w:r w:rsidRPr="00B57B42">
        <w:rPr>
          <w:szCs w:val="21"/>
        </w:rPr>
        <w:t>takura@heip.med.osaka-u.ac.jp</w:t>
      </w:r>
    </w:p>
    <w:p w:rsidR="00B57B42" w:rsidRPr="00B57B42" w:rsidRDefault="00B57B42" w:rsidP="00B57B42">
      <w:pPr>
        <w:rPr>
          <w:szCs w:val="21"/>
        </w:rPr>
      </w:pPr>
    </w:p>
    <w:p w:rsidR="00B57B42" w:rsidRPr="00B57B42" w:rsidRDefault="00B57B42" w:rsidP="00B57B42">
      <w:pPr>
        <w:pStyle w:val="a3"/>
        <w:numPr>
          <w:ilvl w:val="0"/>
          <w:numId w:val="2"/>
        </w:numPr>
        <w:ind w:leftChars="0"/>
        <w:rPr>
          <w:i/>
          <w:szCs w:val="21"/>
        </w:rPr>
      </w:pPr>
      <w:r w:rsidRPr="00B57B42">
        <w:rPr>
          <w:i/>
          <w:szCs w:val="21"/>
        </w:rPr>
        <w:t>Abstract</w:t>
      </w:r>
    </w:p>
    <w:p w:rsidR="004811A8" w:rsidRPr="004811A8" w:rsidRDefault="004811A8" w:rsidP="004811A8">
      <w:pPr>
        <w:rPr>
          <w:szCs w:val="21"/>
        </w:rPr>
      </w:pPr>
      <w:r w:rsidRPr="004811A8">
        <w:rPr>
          <w:szCs w:val="21"/>
        </w:rPr>
        <w:t xml:space="preserve">     The number of deaths from lung cancer has consistently ranked first in Japan since 1988, and has grown steadily since. Despite this, few studies have assessed the value of palliative care for end-stage lung cancer patients; especially rare are medical economic evaluations of such palliative care. </w:t>
      </w:r>
    </w:p>
    <w:p w:rsidR="004811A8" w:rsidRPr="004811A8" w:rsidRDefault="004811A8" w:rsidP="004811A8">
      <w:pPr>
        <w:rPr>
          <w:szCs w:val="21"/>
        </w:rPr>
      </w:pPr>
      <w:r w:rsidRPr="004811A8">
        <w:rPr>
          <w:szCs w:val="21"/>
        </w:rPr>
        <w:t xml:space="preserve">     To effectively assess the performance of palliative care interventions in terms of their utility-cost ratios, it is essential to calculate quality-adjusted life years as indexes of outcomes. However, obtaining data on health-related quality of life (</w:t>
      </w:r>
      <w:proofErr w:type="spellStart"/>
      <w:r w:rsidRPr="004811A8">
        <w:rPr>
          <w:szCs w:val="21"/>
        </w:rPr>
        <w:t>HRQoL</w:t>
      </w:r>
      <w:proofErr w:type="spellEnd"/>
      <w:r w:rsidRPr="004811A8">
        <w:rPr>
          <w:szCs w:val="21"/>
        </w:rPr>
        <w:t xml:space="preserve">) from patients themselves during the end stages of their illness is often difficult. Therefore, in this study, we sought to verify the appropriateness of proxy reporting of </w:t>
      </w:r>
      <w:proofErr w:type="spellStart"/>
      <w:r w:rsidRPr="004811A8">
        <w:rPr>
          <w:szCs w:val="21"/>
        </w:rPr>
        <w:t>HRQoL</w:t>
      </w:r>
      <w:proofErr w:type="spellEnd"/>
      <w:r w:rsidRPr="004811A8">
        <w:rPr>
          <w:szCs w:val="21"/>
        </w:rPr>
        <w:t xml:space="preserve"> by health professionals (i.e., nurses).</w:t>
      </w:r>
    </w:p>
    <w:p w:rsidR="004811A8" w:rsidRPr="004811A8" w:rsidRDefault="004811A8" w:rsidP="004811A8">
      <w:pPr>
        <w:rPr>
          <w:szCs w:val="21"/>
        </w:rPr>
      </w:pPr>
      <w:r w:rsidRPr="004811A8">
        <w:rPr>
          <w:szCs w:val="21"/>
        </w:rPr>
        <w:t xml:space="preserve">     Sixteen patients aged 67.75 ± 6.74 years with Stage IV lung cancer participated in the study. Data were gathered on each patient over a period of three days, utilizing the Euro</w:t>
      </w:r>
      <w:r>
        <w:rPr>
          <w:rFonts w:hint="eastAsia"/>
          <w:szCs w:val="21"/>
        </w:rPr>
        <w:t>-</w:t>
      </w:r>
      <w:proofErr w:type="spellStart"/>
      <w:r w:rsidRPr="004811A8">
        <w:rPr>
          <w:szCs w:val="21"/>
        </w:rPr>
        <w:t>QoL</w:t>
      </w:r>
      <w:proofErr w:type="spellEnd"/>
      <w:r w:rsidRPr="004811A8">
        <w:rPr>
          <w:szCs w:val="21"/>
        </w:rPr>
        <w:t xml:space="preserve"> Five-Dimension Questionnaire (EQ-5D). Proxy reports of EQ-5D were obtained from five certified nurses in the field of cancer nursing. </w:t>
      </w:r>
    </w:p>
    <w:p w:rsidR="004811A8" w:rsidRPr="004811A8" w:rsidRDefault="004811A8" w:rsidP="004811A8">
      <w:pPr>
        <w:rPr>
          <w:szCs w:val="21"/>
        </w:rPr>
      </w:pPr>
      <w:r w:rsidRPr="004811A8">
        <w:rPr>
          <w:szCs w:val="21"/>
        </w:rPr>
        <w:t xml:space="preserve">     Inter-rater agreement in the reporting of EQ-5D was verified in the present study. Total scores of patients and proxies on EQ-5D were found to be significantly positively correlated (</w:t>
      </w:r>
      <w:proofErr w:type="spellStart"/>
      <w:r w:rsidRPr="004811A8">
        <w:rPr>
          <w:szCs w:val="21"/>
        </w:rPr>
        <w:t>Rs</w:t>
      </w:r>
      <w:proofErr w:type="spellEnd"/>
      <w:r w:rsidRPr="004811A8">
        <w:rPr>
          <w:szCs w:val="21"/>
        </w:rPr>
        <w:t xml:space="preserve"> = 0.654, p &lt; 0.01). Likewise, a significant positive association was observed between patient and proxy scores on each item of EQ-5D concerning “mobility,” “self-care,” and “pain/discomfort” (p &lt; 0.01). </w:t>
      </w:r>
    </w:p>
    <w:p w:rsidR="00B57B42" w:rsidRPr="00C517A2" w:rsidRDefault="004811A8">
      <w:pPr>
        <w:rPr>
          <w:szCs w:val="21"/>
        </w:rPr>
      </w:pPr>
      <w:r w:rsidRPr="004811A8">
        <w:rPr>
          <w:szCs w:val="21"/>
        </w:rPr>
        <w:t xml:space="preserve">     From the abovementioned, proxy reporting by nurses is presumed to possess certain explanation capabilities with regard to patient </w:t>
      </w:r>
      <w:proofErr w:type="spellStart"/>
      <w:r w:rsidRPr="004811A8">
        <w:rPr>
          <w:szCs w:val="21"/>
        </w:rPr>
        <w:t>HRQoL</w:t>
      </w:r>
      <w:proofErr w:type="spellEnd"/>
      <w:r w:rsidRPr="004811A8">
        <w:rPr>
          <w:szCs w:val="21"/>
        </w:rPr>
        <w:t>, even in the final-stages of lung cancer.</w:t>
      </w:r>
    </w:p>
    <w:sectPr w:rsidR="00B57B42" w:rsidRPr="00C517A2" w:rsidSect="004811A8">
      <w:footerReference w:type="default" r:id="rId9"/>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AD1" w:rsidRDefault="00106AD1" w:rsidP="003773DD">
      <w:r>
        <w:separator/>
      </w:r>
    </w:p>
  </w:endnote>
  <w:endnote w:type="continuationSeparator" w:id="0">
    <w:p w:rsidR="00106AD1" w:rsidRDefault="00106AD1" w:rsidP="00377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656388"/>
      <w:docPartObj>
        <w:docPartGallery w:val="Page Numbers (Bottom of Page)"/>
        <w:docPartUnique/>
      </w:docPartObj>
    </w:sdtPr>
    <w:sdtEndPr/>
    <w:sdtContent>
      <w:p w:rsidR="003773DD" w:rsidRDefault="003773DD">
        <w:pPr>
          <w:pStyle w:val="a6"/>
          <w:jc w:val="center"/>
        </w:pPr>
        <w:r>
          <w:fldChar w:fldCharType="begin"/>
        </w:r>
        <w:r>
          <w:instrText>PAGE   \* MERGEFORMAT</w:instrText>
        </w:r>
        <w:r>
          <w:fldChar w:fldCharType="separate"/>
        </w:r>
        <w:r w:rsidR="00F432FE" w:rsidRPr="00F432FE">
          <w:rPr>
            <w:noProof/>
            <w:lang w:val="ja-JP"/>
          </w:rPr>
          <w:t>1</w:t>
        </w:r>
        <w:r>
          <w:fldChar w:fldCharType="end"/>
        </w:r>
      </w:p>
    </w:sdtContent>
  </w:sdt>
  <w:p w:rsidR="003773DD" w:rsidRDefault="00377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AD1" w:rsidRDefault="00106AD1" w:rsidP="003773DD">
      <w:r>
        <w:separator/>
      </w:r>
    </w:p>
  </w:footnote>
  <w:footnote w:type="continuationSeparator" w:id="0">
    <w:p w:rsidR="00106AD1" w:rsidRDefault="00106AD1" w:rsidP="003773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B7EAC"/>
    <w:multiLevelType w:val="hybridMultilevel"/>
    <w:tmpl w:val="BA4C73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4D96B8B"/>
    <w:multiLevelType w:val="hybridMultilevel"/>
    <w:tmpl w:val="DA2C59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44A0146"/>
    <w:multiLevelType w:val="hybridMultilevel"/>
    <w:tmpl w:val="000298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2"/>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B42"/>
    <w:rsid w:val="00106AD1"/>
    <w:rsid w:val="003773DD"/>
    <w:rsid w:val="003A53B6"/>
    <w:rsid w:val="00427E26"/>
    <w:rsid w:val="004811A8"/>
    <w:rsid w:val="007D2454"/>
    <w:rsid w:val="008056EC"/>
    <w:rsid w:val="00AD184E"/>
    <w:rsid w:val="00B57B42"/>
    <w:rsid w:val="00C517A2"/>
    <w:rsid w:val="00F43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B42"/>
    <w:pPr>
      <w:ind w:leftChars="400" w:left="840"/>
    </w:pPr>
  </w:style>
  <w:style w:type="paragraph" w:styleId="a4">
    <w:name w:val="header"/>
    <w:basedOn w:val="a"/>
    <w:link w:val="a5"/>
    <w:uiPriority w:val="99"/>
    <w:unhideWhenUsed/>
    <w:rsid w:val="003773DD"/>
    <w:pPr>
      <w:tabs>
        <w:tab w:val="center" w:pos="4252"/>
        <w:tab w:val="right" w:pos="8504"/>
      </w:tabs>
      <w:snapToGrid w:val="0"/>
    </w:pPr>
  </w:style>
  <w:style w:type="character" w:customStyle="1" w:styleId="a5">
    <w:name w:val="ヘッダー (文字)"/>
    <w:basedOn w:val="a0"/>
    <w:link w:val="a4"/>
    <w:uiPriority w:val="99"/>
    <w:rsid w:val="003773DD"/>
  </w:style>
  <w:style w:type="paragraph" w:styleId="a6">
    <w:name w:val="footer"/>
    <w:basedOn w:val="a"/>
    <w:link w:val="a7"/>
    <w:uiPriority w:val="99"/>
    <w:unhideWhenUsed/>
    <w:rsid w:val="003773DD"/>
    <w:pPr>
      <w:tabs>
        <w:tab w:val="center" w:pos="4252"/>
        <w:tab w:val="right" w:pos="8504"/>
      </w:tabs>
      <w:snapToGrid w:val="0"/>
    </w:pPr>
  </w:style>
  <w:style w:type="character" w:customStyle="1" w:styleId="a7">
    <w:name w:val="フッター (文字)"/>
    <w:basedOn w:val="a0"/>
    <w:link w:val="a6"/>
    <w:uiPriority w:val="99"/>
    <w:rsid w:val="003773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B42"/>
    <w:pPr>
      <w:ind w:leftChars="400" w:left="840"/>
    </w:pPr>
  </w:style>
  <w:style w:type="paragraph" w:styleId="a4">
    <w:name w:val="header"/>
    <w:basedOn w:val="a"/>
    <w:link w:val="a5"/>
    <w:uiPriority w:val="99"/>
    <w:unhideWhenUsed/>
    <w:rsid w:val="003773DD"/>
    <w:pPr>
      <w:tabs>
        <w:tab w:val="center" w:pos="4252"/>
        <w:tab w:val="right" w:pos="8504"/>
      </w:tabs>
      <w:snapToGrid w:val="0"/>
    </w:pPr>
  </w:style>
  <w:style w:type="character" w:customStyle="1" w:styleId="a5">
    <w:name w:val="ヘッダー (文字)"/>
    <w:basedOn w:val="a0"/>
    <w:link w:val="a4"/>
    <w:uiPriority w:val="99"/>
    <w:rsid w:val="003773DD"/>
  </w:style>
  <w:style w:type="paragraph" w:styleId="a6">
    <w:name w:val="footer"/>
    <w:basedOn w:val="a"/>
    <w:link w:val="a7"/>
    <w:uiPriority w:val="99"/>
    <w:unhideWhenUsed/>
    <w:rsid w:val="003773DD"/>
    <w:pPr>
      <w:tabs>
        <w:tab w:val="center" w:pos="4252"/>
        <w:tab w:val="right" w:pos="8504"/>
      </w:tabs>
      <w:snapToGrid w:val="0"/>
    </w:pPr>
  </w:style>
  <w:style w:type="character" w:customStyle="1" w:styleId="a7">
    <w:name w:val="フッター (文字)"/>
    <w:basedOn w:val="a0"/>
    <w:link w:val="a6"/>
    <w:uiPriority w:val="99"/>
    <w:rsid w:val="00377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E13B-ACB2-4262-8BBE-9AD440B3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田倉智之</dc:creator>
  <cp:lastModifiedBy>TAKURA　tomoyuki</cp:lastModifiedBy>
  <cp:revision>3</cp:revision>
  <dcterms:created xsi:type="dcterms:W3CDTF">2014-04-16T09:57:00Z</dcterms:created>
  <dcterms:modified xsi:type="dcterms:W3CDTF">2014-04-16T09:58:00Z</dcterms:modified>
</cp:coreProperties>
</file>