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76" w:rsidRDefault="00702F76" w:rsidP="00702F76">
      <w:pPr>
        <w:jc w:val="center"/>
      </w:pPr>
      <w:r>
        <w:rPr>
          <w:rFonts w:hint="eastAsia"/>
        </w:rPr>
        <w:t>研究</w:t>
      </w:r>
      <w:r w:rsidR="003A082F">
        <w:rPr>
          <w:rFonts w:hint="eastAsia"/>
        </w:rPr>
        <w:t>結果報告</w:t>
      </w:r>
      <w:r>
        <w:rPr>
          <w:rFonts w:hint="eastAsia"/>
        </w:rPr>
        <w:t>：介護</w:t>
      </w:r>
      <w:r w:rsidR="00A67119">
        <w:rPr>
          <w:rFonts w:hint="eastAsia"/>
        </w:rPr>
        <w:t>サービス</w:t>
      </w:r>
      <w:r w:rsidR="009948FD">
        <w:rPr>
          <w:rFonts w:hint="eastAsia"/>
        </w:rPr>
        <w:t>の</w:t>
      </w:r>
      <w:r w:rsidR="00A67119">
        <w:rPr>
          <w:rFonts w:hint="eastAsia"/>
        </w:rPr>
        <w:t>質の向上</w:t>
      </w:r>
      <w:r w:rsidR="00A65280">
        <w:rPr>
          <w:rFonts w:hint="eastAsia"/>
        </w:rPr>
        <w:t>を織り込んだアウトプット</w:t>
      </w:r>
      <w:r w:rsidR="009948FD">
        <w:rPr>
          <w:rFonts w:hint="eastAsia"/>
        </w:rPr>
        <w:t>の計測</w:t>
      </w:r>
    </w:p>
    <w:p w:rsidR="00702F76" w:rsidRDefault="00702F76"/>
    <w:p w:rsidR="00702F76" w:rsidRPr="00A67119" w:rsidRDefault="00702F76"/>
    <w:p w:rsidR="009948FD" w:rsidRDefault="009948FD">
      <w:r>
        <w:rPr>
          <w:rFonts w:hint="eastAsia"/>
        </w:rPr>
        <w:t>１．問題意識</w:t>
      </w:r>
    </w:p>
    <w:p w:rsidR="00231E3C" w:rsidRDefault="009948FD" w:rsidP="006C6088">
      <w:r>
        <w:rPr>
          <w:rFonts w:hint="eastAsia"/>
        </w:rPr>
        <w:t xml:space="preserve">　</w:t>
      </w:r>
      <w:r w:rsidR="00682ABB">
        <w:rPr>
          <w:rFonts w:hint="eastAsia"/>
        </w:rPr>
        <w:t>高齢化がますます進展する中で、</w:t>
      </w:r>
      <w:r w:rsidR="00AF6C04">
        <w:rPr>
          <w:rFonts w:hint="eastAsia"/>
        </w:rPr>
        <w:t>高齢者が要介護状態になることを予防し、また、要介護度を改善する</w:t>
      </w:r>
      <w:r w:rsidR="00750389">
        <w:rPr>
          <w:rFonts w:hint="eastAsia"/>
        </w:rPr>
        <w:t>努力が続けられている</w:t>
      </w:r>
      <w:r w:rsidR="00AF6C04">
        <w:rPr>
          <w:rFonts w:hint="eastAsia"/>
        </w:rPr>
        <w:t>。</w:t>
      </w:r>
      <w:r w:rsidR="00A7272B">
        <w:rPr>
          <w:rFonts w:hint="eastAsia"/>
        </w:rPr>
        <w:t>しかし、介護サービスが生み出す</w:t>
      </w:r>
      <w:r w:rsidR="002C363C">
        <w:rPr>
          <w:rFonts w:hint="eastAsia"/>
        </w:rPr>
        <w:t>社会的な価値が適切に評価されているとは言えない。</w:t>
      </w:r>
    </w:p>
    <w:p w:rsidR="006C6088" w:rsidRDefault="008B6B79" w:rsidP="00231E3C">
      <w:pPr>
        <w:ind w:firstLineChars="100" w:firstLine="210"/>
      </w:pPr>
      <w:r>
        <w:rPr>
          <w:rFonts w:hint="eastAsia"/>
        </w:rPr>
        <w:t>もともと、</w:t>
      </w:r>
      <w:r w:rsidRPr="008B6B79">
        <w:rPr>
          <w:rFonts w:hint="eastAsia"/>
        </w:rPr>
        <w:t>医療、教育、金融などの非市場型サービス産業は、アウトプットや生産性の計測が特に困難な分野である。非市場型サービス産業においては、そもそも市場価格が存在しないことや、価格が消費者の評価と乖離することがアウトプット等の計測を困難にしている。その背景にあるのは、情報の非対称性などの市場の不完全性、規制や公的保険等の存在、外部性などである。</w:t>
      </w:r>
      <w:r w:rsidR="006C6088">
        <w:rPr>
          <w:rFonts w:hint="eastAsia"/>
        </w:rPr>
        <w:t>国民所得統計では、</w:t>
      </w:r>
      <w:r w:rsidR="00B41F2B">
        <w:rPr>
          <w:rFonts w:hint="eastAsia"/>
        </w:rPr>
        <w:t>非市場型</w:t>
      </w:r>
      <w:r w:rsidR="006C6088">
        <w:rPr>
          <w:rFonts w:hint="eastAsia"/>
        </w:rPr>
        <w:t>サービス産業におけるアウトプットはインプットと等しいものとして計測されており、生産性上昇率は定義によりゼロとなるなど、アウトプットや生産性、価格が適切に計測されていない。その結果、医療、教育、金融などについては、そのサービスの質の評価がほとんどなされておらず、それらのサービス業がどれだけの価値を生み出しているのか、効率的な生産が行われているのが把握されていないまま、医療費の膨張など財政的な側面からのみ政策論議が行われる傾向が強い。</w:t>
      </w:r>
    </w:p>
    <w:p w:rsidR="00B41F2B" w:rsidRDefault="00231E3C" w:rsidP="00231E3C">
      <w:pPr>
        <w:ind w:firstLineChars="100" w:firstLine="210"/>
      </w:pPr>
      <w:r>
        <w:rPr>
          <w:rFonts w:hint="eastAsia"/>
        </w:rPr>
        <w:t>以上のことは、介護サービスについて</w:t>
      </w:r>
      <w:r w:rsidR="00A95A53">
        <w:rPr>
          <w:rFonts w:hint="eastAsia"/>
        </w:rPr>
        <w:t>も</w:t>
      </w:r>
      <w:r>
        <w:rPr>
          <w:rFonts w:hint="eastAsia"/>
        </w:rPr>
        <w:t>妥当する。</w:t>
      </w:r>
      <w:r w:rsidRPr="00231E3C">
        <w:rPr>
          <w:rFonts w:hint="eastAsia"/>
        </w:rPr>
        <w:t>介護費用を支出することにより要介護状態になることが予防されたり要介護状態が改善したりすれば、介護サービスは大きな社会的な価値を生んでいることになる。</w:t>
      </w:r>
      <w:r>
        <w:rPr>
          <w:rFonts w:hint="eastAsia"/>
        </w:rPr>
        <w:t>しかし、</w:t>
      </w:r>
      <w:r w:rsidRPr="00231E3C">
        <w:rPr>
          <w:rFonts w:hint="eastAsia"/>
        </w:rPr>
        <w:t>介護サービスが生み出す価値の計測は容易でなく、</w:t>
      </w:r>
      <w:r>
        <w:rPr>
          <w:rFonts w:hint="eastAsia"/>
        </w:rPr>
        <w:t>上記のように</w:t>
      </w:r>
      <w:r w:rsidRPr="00231E3C">
        <w:rPr>
          <w:rFonts w:hint="eastAsia"/>
        </w:rPr>
        <w:t>国民経済計算では投入コストを介護サービスのアウトプットとみなし</w:t>
      </w:r>
      <w:r w:rsidR="00A95A53">
        <w:rPr>
          <w:rFonts w:hint="eastAsia"/>
        </w:rPr>
        <w:t>おり</w:t>
      </w:r>
      <w:r w:rsidRPr="00231E3C">
        <w:rPr>
          <w:rFonts w:hint="eastAsia"/>
        </w:rPr>
        <w:t>、</w:t>
      </w:r>
      <w:r w:rsidR="00A95A53">
        <w:rPr>
          <w:rFonts w:hint="eastAsia"/>
        </w:rPr>
        <w:t>介護</w:t>
      </w:r>
      <w:r w:rsidRPr="00231E3C">
        <w:rPr>
          <w:rFonts w:hint="eastAsia"/>
        </w:rPr>
        <w:t>サービスにより要介護状態が改善するなどの効果が適切に反映されない。そこで、本研究では、介護費用の介護予防効果等を織り込んで介護サービスのアウトプットを計測し、その社会的価値を適切に評価</w:t>
      </w:r>
      <w:r w:rsidR="00D75E42">
        <w:rPr>
          <w:rFonts w:hint="eastAsia"/>
        </w:rPr>
        <w:t>した上で介護サービスのアウトプットの計測を行う</w:t>
      </w:r>
      <w:r w:rsidRPr="00231E3C">
        <w:rPr>
          <w:rFonts w:hint="eastAsia"/>
        </w:rPr>
        <w:t>こととする。</w:t>
      </w:r>
    </w:p>
    <w:p w:rsidR="009948FD" w:rsidRDefault="009948FD"/>
    <w:p w:rsidR="00702F76" w:rsidRDefault="00B67909">
      <w:r>
        <w:rPr>
          <w:rFonts w:hint="eastAsia"/>
        </w:rPr>
        <w:t>２．研究の結果</w:t>
      </w:r>
    </w:p>
    <w:p w:rsidR="007A3BA0" w:rsidRDefault="006D2EF4" w:rsidP="006D2EF4">
      <w:pPr>
        <w:ind w:firstLineChars="100" w:firstLine="210"/>
      </w:pPr>
      <w:r>
        <w:rPr>
          <w:rFonts w:hint="eastAsia"/>
        </w:rPr>
        <w:t>本研究においては、国際標準となりつつあるアクティビティ・ベースの医療アウトプットの計測手法を踏襲する。医療を含む非市場型サービスのアウトプットの直接計測と質の調整の必要性は、</w:t>
      </w:r>
      <w:r>
        <w:rPr>
          <w:rFonts w:hint="eastAsia"/>
        </w:rPr>
        <w:t>Atkinson Review(2005)</w:t>
      </w:r>
      <w:r>
        <w:rPr>
          <w:rFonts w:hint="eastAsia"/>
        </w:rPr>
        <w:t>により強力に提唱され、</w:t>
      </w:r>
      <w:r>
        <w:rPr>
          <w:rFonts w:hint="eastAsia"/>
        </w:rPr>
        <w:t>Eurostat(2001)</w:t>
      </w:r>
      <w:r>
        <w:rPr>
          <w:rFonts w:hint="eastAsia"/>
        </w:rPr>
        <w:t>等においても広汎に取り入れられている。現状では、すべての</w:t>
      </w:r>
      <w:r>
        <w:rPr>
          <w:rFonts w:hint="eastAsia"/>
        </w:rPr>
        <w:t>EU</w:t>
      </w:r>
      <w:r>
        <w:rPr>
          <w:rFonts w:hint="eastAsia"/>
        </w:rPr>
        <w:t>加盟国が何らかの形で直接計測を実施している。例えば、イギリスが</w:t>
      </w:r>
      <w:r>
        <w:rPr>
          <w:rFonts w:hint="eastAsia"/>
        </w:rPr>
        <w:t>HRG</w:t>
      </w:r>
      <w:r>
        <w:rPr>
          <w:rFonts w:hint="eastAsia"/>
        </w:rPr>
        <w:t>を計測単位とした質を調整しないアウトプットの計測を実施しており（</w:t>
      </w:r>
      <w:r>
        <w:rPr>
          <w:rFonts w:hint="eastAsia"/>
        </w:rPr>
        <w:t>UK Department of Health, 2005</w:t>
      </w:r>
      <w:r>
        <w:rPr>
          <w:rFonts w:hint="eastAsia"/>
        </w:rPr>
        <w:t>）、質の調整についても活発に研究を行っている（</w:t>
      </w:r>
      <w:r>
        <w:rPr>
          <w:rFonts w:hint="eastAsia"/>
        </w:rPr>
        <w:t xml:space="preserve">UK </w:t>
      </w:r>
      <w:r w:rsidR="005467BB" w:rsidRPr="005467BB">
        <w:t>Office for National Statistics</w:t>
      </w:r>
      <w:r>
        <w:rPr>
          <w:rFonts w:hint="eastAsia"/>
        </w:rPr>
        <w:t>, 2007</w:t>
      </w:r>
      <w:r>
        <w:rPr>
          <w:rFonts w:hint="eastAsia"/>
        </w:rPr>
        <w:t>）。他の</w:t>
      </w:r>
      <w:r>
        <w:rPr>
          <w:rFonts w:hint="eastAsia"/>
        </w:rPr>
        <w:t>EU</w:t>
      </w:r>
      <w:r>
        <w:rPr>
          <w:rFonts w:hint="eastAsia"/>
        </w:rPr>
        <w:t>諸国については支払方式として</w:t>
      </w:r>
      <w:r>
        <w:rPr>
          <w:rFonts w:hint="eastAsia"/>
        </w:rPr>
        <w:t>EuroDRG</w:t>
      </w:r>
      <w:r>
        <w:rPr>
          <w:rFonts w:hint="eastAsia"/>
        </w:rPr>
        <w:t>プロジェクトが進展しているが、この</w:t>
      </w:r>
      <w:r>
        <w:rPr>
          <w:rFonts w:hint="eastAsia"/>
        </w:rPr>
        <w:t>EuroDRG</w:t>
      </w:r>
      <w:r>
        <w:rPr>
          <w:rFonts w:hint="eastAsia"/>
        </w:rPr>
        <w:t>を使ったアウトプ</w:t>
      </w:r>
      <w:r>
        <w:rPr>
          <w:rFonts w:hint="eastAsia"/>
        </w:rPr>
        <w:lastRenderedPageBreak/>
        <w:t>ット計測の研究も行われている（</w:t>
      </w:r>
      <w:r>
        <w:rPr>
          <w:rFonts w:hint="eastAsia"/>
        </w:rPr>
        <w:t>Pierdzioch, 2008</w:t>
      </w:r>
      <w:r>
        <w:rPr>
          <w:rFonts w:hint="eastAsia"/>
        </w:rPr>
        <w:t>）。本研究の計測手法は、イギリスにおけるアクティビティ・ベースのアウトプット計測を主導し、また、</w:t>
      </w:r>
      <w:r>
        <w:rPr>
          <w:rFonts w:hint="eastAsia"/>
        </w:rPr>
        <w:t>EuroDRG</w:t>
      </w:r>
      <w:r>
        <w:rPr>
          <w:rFonts w:hint="eastAsia"/>
        </w:rPr>
        <w:t>における分析にも強い影響を与えている</w:t>
      </w:r>
      <w:r>
        <w:rPr>
          <w:rFonts w:hint="eastAsia"/>
        </w:rPr>
        <w:t>York</w:t>
      </w:r>
      <w:r>
        <w:rPr>
          <w:rFonts w:hint="eastAsia"/>
        </w:rPr>
        <w:t>大学のグループの研究、とりわけ</w:t>
      </w:r>
      <w:r>
        <w:rPr>
          <w:rFonts w:hint="eastAsia"/>
        </w:rPr>
        <w:t>Dawson, et al.(2005)</w:t>
      </w:r>
      <w:r>
        <w:rPr>
          <w:rFonts w:hint="eastAsia"/>
        </w:rPr>
        <w:t>、</w:t>
      </w:r>
      <w:r>
        <w:rPr>
          <w:rFonts w:hint="eastAsia"/>
        </w:rPr>
        <w:t>Castelli, et al.(2010)</w:t>
      </w:r>
      <w:r>
        <w:rPr>
          <w:rFonts w:hint="eastAsia"/>
        </w:rPr>
        <w:t>等に基づく。</w:t>
      </w:r>
      <w:r w:rsidR="008B3A5E">
        <w:rPr>
          <w:rFonts w:hint="eastAsia"/>
        </w:rPr>
        <w:t>なお、この研究に使用したデータは機密性の高いものであり、</w:t>
      </w:r>
      <w:r w:rsidR="007A3BA0">
        <w:rPr>
          <w:rFonts w:hint="eastAsia"/>
        </w:rPr>
        <w:t>結果の報告に当たって</w:t>
      </w:r>
      <w:r w:rsidR="00AA1A7A">
        <w:rPr>
          <w:rFonts w:hint="eastAsia"/>
        </w:rPr>
        <w:t>現段階では</w:t>
      </w:r>
      <w:r w:rsidR="007A3BA0">
        <w:rPr>
          <w:rFonts w:hint="eastAsia"/>
        </w:rPr>
        <w:t>具体的な数値を記述することは適切ではない。</w:t>
      </w:r>
      <w:bookmarkStart w:id="0" w:name="_GoBack"/>
      <w:bookmarkEnd w:id="0"/>
    </w:p>
    <w:p w:rsidR="00B67909" w:rsidRDefault="00B67909" w:rsidP="00B67909">
      <w:r w:rsidRPr="007E535F">
        <w:rPr>
          <w:rFonts w:hint="eastAsia"/>
        </w:rPr>
        <w:t xml:space="preserve">　</w:t>
      </w:r>
      <w:r w:rsidR="006D2EF4" w:rsidRPr="006D2EF4">
        <w:rPr>
          <w:rFonts w:hint="eastAsia"/>
        </w:rPr>
        <w:t>アクティビティ・ベースの</w:t>
      </w:r>
      <w:r w:rsidRPr="007E535F">
        <w:rPr>
          <w:rFonts w:hint="eastAsia"/>
        </w:rPr>
        <w:t>アウトプット指数は、</w:t>
      </w:r>
      <w:r>
        <w:rPr>
          <w:rFonts w:hint="eastAsia"/>
        </w:rPr>
        <w:t>「計測</w:t>
      </w:r>
      <w:r w:rsidRPr="007E535F">
        <w:rPr>
          <w:rFonts w:hint="eastAsia"/>
        </w:rPr>
        <w:t>単位（患者数）」×「</w:t>
      </w:r>
      <w:r>
        <w:rPr>
          <w:rFonts w:hint="eastAsia"/>
        </w:rPr>
        <w:t>サービス</w:t>
      </w:r>
      <w:r w:rsidRPr="007E535F">
        <w:rPr>
          <w:rFonts w:hint="eastAsia"/>
        </w:rPr>
        <w:t>の質の変化」で計測される。具体的算式は、次のように与えられる。</w:t>
      </w:r>
    </w:p>
    <w:p w:rsidR="00B67909" w:rsidRDefault="00B67909" w:rsidP="00B67909">
      <w:pPr>
        <w:ind w:firstLineChars="300" w:firstLine="630"/>
      </w:pPr>
    </w:p>
    <w:p w:rsidR="00B67909" w:rsidRDefault="00B67909" w:rsidP="00B67909">
      <w:pPr>
        <w:ind w:firstLineChars="300" w:firstLine="630"/>
      </w:pPr>
      <w:r w:rsidRPr="00C572E6">
        <w:rPr>
          <w:position w:val="-30"/>
        </w:rPr>
        <w:object w:dxaOrig="1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34.05pt" o:ole="">
            <v:imagedata r:id="rId8" o:title=""/>
          </v:shape>
          <o:OLEObject Type="Embed" ProgID="Equation.3" ShapeID="_x0000_i1025" DrawAspect="Content" ObjectID="_1457186644" r:id="rId9"/>
        </w:object>
      </w:r>
    </w:p>
    <w:p w:rsidR="00B67909" w:rsidRDefault="00B67909" w:rsidP="00B67909"/>
    <w:p w:rsidR="00B67909" w:rsidRPr="007E535F" w:rsidRDefault="00B67909" w:rsidP="00B67909">
      <w:r>
        <w:rPr>
          <w:rFonts w:hint="eastAsia"/>
        </w:rPr>
        <w:t>ここで、</w:t>
      </w:r>
      <w:r w:rsidRPr="005C4857">
        <w:rPr>
          <w:position w:val="-12"/>
        </w:rPr>
        <w:object w:dxaOrig="240" w:dyaOrig="360">
          <v:shape id="_x0000_i1026" type="#_x0000_t75" style="width:12.2pt;height:17.9pt" o:ole="">
            <v:imagedata r:id="rId10" o:title=""/>
          </v:shape>
          <o:OLEObject Type="Embed" ProgID="Equation.3" ShapeID="_x0000_i1026" DrawAspect="Content" ObjectID="_1457186645" r:id="rId11"/>
        </w:object>
      </w:r>
      <w:r>
        <w:rPr>
          <w:rFonts w:hint="eastAsia"/>
        </w:rPr>
        <w:t>は</w:t>
      </w:r>
      <w:r w:rsidRPr="005C4857">
        <w:rPr>
          <w:rFonts w:hint="eastAsia"/>
          <w:i/>
        </w:rPr>
        <w:t>t</w:t>
      </w:r>
      <w:r w:rsidRPr="005C4857">
        <w:rPr>
          <w:rFonts w:hint="eastAsia"/>
        </w:rPr>
        <w:t>期</w:t>
      </w:r>
      <w:r>
        <w:rPr>
          <w:rFonts w:hint="eastAsia"/>
        </w:rPr>
        <w:t>の患者数、</w:t>
      </w:r>
      <w:r w:rsidRPr="00E57C26">
        <w:rPr>
          <w:position w:val="-12"/>
        </w:rPr>
        <w:object w:dxaOrig="240" w:dyaOrig="360">
          <v:shape id="_x0000_i1027" type="#_x0000_t75" style="width:12.2pt;height:17.9pt" o:ole="">
            <v:imagedata r:id="rId12" o:title=""/>
          </v:shape>
          <o:OLEObject Type="Embed" ProgID="Equation.3" ShapeID="_x0000_i1027" DrawAspect="Content" ObjectID="_1457186646" r:id="rId13"/>
        </w:object>
      </w:r>
      <w:r w:rsidRPr="00172B82">
        <w:rPr>
          <w:rFonts w:hint="eastAsia"/>
        </w:rPr>
        <w:t>は</w:t>
      </w:r>
      <w:r w:rsidRPr="00172B82">
        <w:rPr>
          <w:rFonts w:hint="eastAsia"/>
          <w:i/>
        </w:rPr>
        <w:t>t</w:t>
      </w:r>
      <w:r w:rsidRPr="00172B82">
        <w:rPr>
          <w:rFonts w:hint="eastAsia"/>
        </w:rPr>
        <w:t>期の</w:t>
      </w:r>
      <w:r>
        <w:rPr>
          <w:rFonts w:hint="eastAsia"/>
        </w:rPr>
        <w:t>介護サービスの質である。</w:t>
      </w:r>
    </w:p>
    <w:p w:rsidR="00C70907" w:rsidRDefault="0095761D" w:rsidP="00C70907">
      <w:r>
        <w:rPr>
          <w:rFonts w:hint="eastAsia"/>
        </w:rPr>
        <w:t xml:space="preserve">　サービスの質としては、</w:t>
      </w:r>
      <w:r w:rsidR="005E727C">
        <w:rPr>
          <w:rFonts w:hint="eastAsia"/>
        </w:rPr>
        <w:t>年齢や疾病等</w:t>
      </w:r>
      <w:r w:rsidR="00C3236A">
        <w:rPr>
          <w:rFonts w:hint="eastAsia"/>
        </w:rPr>
        <w:t>が</w:t>
      </w:r>
      <w:r w:rsidR="001C74C8">
        <w:rPr>
          <w:rFonts w:hint="eastAsia"/>
        </w:rPr>
        <w:t>同じ</w:t>
      </w:r>
      <w:r w:rsidR="00C3236A" w:rsidRPr="00C3236A">
        <w:rPr>
          <w:rFonts w:hint="eastAsia"/>
        </w:rPr>
        <w:t>患者</w:t>
      </w:r>
      <w:r w:rsidR="001C74C8">
        <w:rPr>
          <w:rFonts w:hint="eastAsia"/>
        </w:rPr>
        <w:t>の</w:t>
      </w:r>
      <w:r w:rsidR="005E727C">
        <w:rPr>
          <w:rFonts w:hint="eastAsia"/>
        </w:rPr>
        <w:t>要介護度</w:t>
      </w:r>
      <w:r w:rsidR="00C3236A">
        <w:rPr>
          <w:rFonts w:hint="eastAsia"/>
        </w:rPr>
        <w:t>が、年々、</w:t>
      </w:r>
      <w:r w:rsidR="00DA5463">
        <w:rPr>
          <w:rFonts w:hint="eastAsia"/>
        </w:rPr>
        <w:t>低下</w:t>
      </w:r>
      <w:r w:rsidR="00C3236A">
        <w:rPr>
          <w:rFonts w:hint="eastAsia"/>
        </w:rPr>
        <w:t>し</w:t>
      </w:r>
      <w:r w:rsidR="001C74C8">
        <w:rPr>
          <w:rFonts w:hint="eastAsia"/>
        </w:rPr>
        <w:t>ていく程度</w:t>
      </w:r>
      <w:r w:rsidR="00DA5463">
        <w:rPr>
          <w:rFonts w:hint="eastAsia"/>
        </w:rPr>
        <w:t>を計測した。</w:t>
      </w:r>
      <w:r w:rsidR="00525883">
        <w:rPr>
          <w:rFonts w:hint="eastAsia"/>
        </w:rPr>
        <w:t>モデルとしては、</w:t>
      </w:r>
      <w:r w:rsidR="00C70907">
        <w:rPr>
          <w:rFonts w:hint="eastAsia"/>
        </w:rPr>
        <w:t>前期の初期条件から出発して、当期の要介護度に至るモデルを考える。初期条件としては、年齢、疾病等の個人の属性と前期の要介護度がある。</w:t>
      </w:r>
      <w:r w:rsidR="003077CD" w:rsidRPr="003077CD">
        <w:rPr>
          <w:rFonts w:hint="eastAsia"/>
        </w:rPr>
        <w:t>順序ロジット・モデル</w:t>
      </w:r>
      <w:r w:rsidR="003077CD">
        <w:rPr>
          <w:rFonts w:hint="eastAsia"/>
        </w:rPr>
        <w:t>によって要介護度の決定要因を推定した。説明変数としては、</w:t>
      </w:r>
      <w:r w:rsidR="007021DC">
        <w:rPr>
          <w:rFonts w:hint="eastAsia"/>
        </w:rPr>
        <w:t>患者の年齢、性別、既往症</w:t>
      </w:r>
      <w:r w:rsidR="003077CD">
        <w:rPr>
          <w:rFonts w:hint="eastAsia"/>
        </w:rPr>
        <w:t>（高血圧）</w:t>
      </w:r>
      <w:r w:rsidR="007021DC">
        <w:rPr>
          <w:rFonts w:hint="eastAsia"/>
        </w:rPr>
        <w:t>、</w:t>
      </w:r>
      <w:r w:rsidR="00B50DA1">
        <w:rPr>
          <w:rFonts w:hint="eastAsia"/>
        </w:rPr>
        <w:t>各年ダミーを採った。</w:t>
      </w:r>
      <w:r w:rsidR="00E90DFD">
        <w:rPr>
          <w:rFonts w:hint="eastAsia"/>
        </w:rPr>
        <w:t>具体的な定式化は以下のとおり。</w:t>
      </w:r>
    </w:p>
    <w:p w:rsidR="00E90DFD" w:rsidRDefault="008323C2" w:rsidP="00C70907">
      <w:r w:rsidRPr="008323C2">
        <w:rPr>
          <w:rFonts w:hint="eastAsia"/>
          <w:i/>
        </w:rPr>
        <w:t>i</w:t>
      </w:r>
      <w:r>
        <w:rPr>
          <w:rFonts w:hint="eastAsia"/>
        </w:rPr>
        <w:t>番目の人の</w:t>
      </w:r>
      <w:r w:rsidRPr="008323C2">
        <w:rPr>
          <w:rFonts w:hint="eastAsia"/>
          <w:i/>
        </w:rPr>
        <w:t>t</w:t>
      </w:r>
      <w:r>
        <w:rPr>
          <w:rFonts w:hint="eastAsia"/>
        </w:rPr>
        <w:t>期の潜在的な</w:t>
      </w:r>
      <w:r w:rsidR="007E2C19">
        <w:rPr>
          <w:rFonts w:hint="eastAsia"/>
        </w:rPr>
        <w:t>要介護度</w:t>
      </w:r>
      <w:r>
        <w:rPr>
          <w:rFonts w:hint="eastAsia"/>
        </w:rPr>
        <w:t>を表す</w:t>
      </w:r>
      <w:r w:rsidR="00E90DFD">
        <w:rPr>
          <w:rFonts w:hint="eastAsia"/>
        </w:rPr>
        <w:t>潜在変数</w:t>
      </w:r>
      <m:oMath>
        <m:sSubSup>
          <m:sSubSupPr>
            <m:ctrlPr>
              <w:rPr>
                <w:rFonts w:ascii="Cambria Math" w:hAnsi="Cambria Math"/>
              </w:rPr>
            </m:ctrlPr>
          </m:sSubSupPr>
          <m:e>
            <m:r>
              <w:rPr>
                <w:rFonts w:ascii="Cambria Math" w:hAnsi="Cambria Math"/>
              </w:rPr>
              <m:t>y</m:t>
            </m:r>
          </m:e>
          <m:sub>
            <m:r>
              <w:rPr>
                <w:rFonts w:ascii="Cambria Math" w:hAnsi="Cambria Math"/>
              </w:rPr>
              <m:t>it</m:t>
            </m:r>
          </m:sub>
          <m:sup>
            <m:r>
              <w:rPr>
                <w:rFonts w:ascii="Cambria Math" w:hAnsi="Cambria Math"/>
              </w:rPr>
              <m:t>*</m:t>
            </m:r>
          </m:sup>
        </m:sSubSup>
      </m:oMath>
      <w:r>
        <w:rPr>
          <w:rFonts w:hint="eastAsia"/>
        </w:rPr>
        <w:t>が</w:t>
      </w:r>
      <w:r w:rsidR="00A350F2">
        <w:rPr>
          <w:rFonts w:hint="eastAsia"/>
        </w:rPr>
        <w:t>、その人の属性等</w:t>
      </w:r>
      <m:oMath>
        <m:sSub>
          <m:sSubPr>
            <m:ctrlPr>
              <w:rPr>
                <w:rFonts w:ascii="Cambria Math" w:hAnsi="Cambria Math"/>
              </w:rPr>
            </m:ctrlPr>
          </m:sSubPr>
          <m:e>
            <m:r>
              <w:rPr>
                <w:rFonts w:ascii="Cambria Math" w:hAnsi="Cambria Math"/>
              </w:rPr>
              <m:t>x</m:t>
            </m:r>
          </m:e>
          <m:sub>
            <m:r>
              <w:rPr>
                <w:rFonts w:ascii="Cambria Math" w:hAnsi="Cambria Math"/>
              </w:rPr>
              <m:t>it</m:t>
            </m:r>
          </m:sub>
        </m:sSub>
      </m:oMath>
      <w:r w:rsidR="00A350F2">
        <w:rPr>
          <w:rFonts w:hint="eastAsia"/>
        </w:rPr>
        <w:t>、</w:t>
      </w:r>
      <w:r w:rsidR="00617A6C">
        <w:rPr>
          <w:rFonts w:hint="eastAsia"/>
        </w:rPr>
        <w:t>1</w:t>
      </w:r>
      <w:r w:rsidR="00617A6C">
        <w:rPr>
          <w:rFonts w:hint="eastAsia"/>
        </w:rPr>
        <w:t>期前の要介護度</w:t>
      </w:r>
      <m:oMath>
        <m:sSub>
          <m:sSubPr>
            <m:ctrlPr>
              <w:rPr>
                <w:rFonts w:ascii="Cambria Math" w:hAnsi="Cambria Math"/>
              </w:rPr>
            </m:ctrlPr>
          </m:sSubPr>
          <m:e>
            <m:r>
              <w:rPr>
                <w:rFonts w:ascii="Cambria Math" w:hAnsi="Cambria Math"/>
              </w:rPr>
              <m:t>y</m:t>
            </m:r>
          </m:e>
          <m:sub>
            <m:r>
              <w:rPr>
                <w:rFonts w:ascii="Cambria Math" w:hAnsi="Cambria Math"/>
              </w:rPr>
              <m:t>i,t-1</m:t>
            </m:r>
          </m:sub>
        </m:sSub>
      </m:oMath>
      <w:r w:rsidR="00617A6C">
        <w:rPr>
          <w:rFonts w:hint="eastAsia"/>
        </w:rPr>
        <w:t>、</w:t>
      </w:r>
      <w:r w:rsidR="00622A9E">
        <w:rPr>
          <w:rFonts w:hint="eastAsia"/>
        </w:rPr>
        <w:t>固有効果</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00622A9E">
        <w:rPr>
          <w:rFonts w:hint="eastAsia"/>
        </w:rPr>
        <w:t>、</w:t>
      </w:r>
      <w:r w:rsidR="00E00E8A">
        <w:rPr>
          <w:rFonts w:hint="eastAsia"/>
        </w:rPr>
        <w:t>かく乱項</w:t>
      </w:r>
      <m:oMath>
        <m:sSub>
          <m:sSubPr>
            <m:ctrlPr>
              <w:rPr>
                <w:rFonts w:ascii="Cambria Math" w:hAnsi="Cambria Math"/>
              </w:rPr>
            </m:ctrlPr>
          </m:sSubPr>
          <m:e>
            <m:r>
              <w:rPr>
                <w:rFonts w:ascii="Cambria Math" w:hAnsi="Cambria Math"/>
              </w:rPr>
              <m:t>ε</m:t>
            </m:r>
          </m:e>
          <m:sub>
            <m:r>
              <w:rPr>
                <w:rFonts w:ascii="Cambria Math" w:hAnsi="Cambria Math"/>
              </w:rPr>
              <m:t>it</m:t>
            </m:r>
          </m:sub>
        </m:sSub>
      </m:oMath>
      <w:r w:rsidR="00BF5C57">
        <w:rPr>
          <w:rFonts w:hint="eastAsia"/>
        </w:rPr>
        <w:t>に依存するとする。</w:t>
      </w:r>
    </w:p>
    <w:p w:rsidR="00BF5C57" w:rsidRPr="00FE6630" w:rsidRDefault="00AC142F" w:rsidP="00C70907">
      <w:r>
        <w:rPr>
          <w:rFonts w:hint="eastAsia"/>
        </w:rPr>
        <w:t xml:space="preserve">　　　　</w:t>
      </w:r>
      <m:oMath>
        <m:sSubSup>
          <m:sSubSupPr>
            <m:ctrlPr>
              <w:rPr>
                <w:rFonts w:ascii="Cambria Math" w:hAnsi="Cambria Math"/>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β+ρ</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p>
    <w:p w:rsidR="00C70907" w:rsidRDefault="00C43E17" w:rsidP="00C70907">
      <w:r>
        <w:rPr>
          <w:rFonts w:hint="eastAsia"/>
        </w:rPr>
        <w:t>実際の要介護度</w:t>
      </w:r>
      <m:oMath>
        <m:sSub>
          <m:sSubPr>
            <m:ctrlPr>
              <w:rPr>
                <w:rFonts w:ascii="Cambria Math" w:hAnsi="Cambria Math"/>
              </w:rPr>
            </m:ctrlPr>
          </m:sSubPr>
          <m:e>
            <m:r>
              <w:rPr>
                <w:rFonts w:ascii="Cambria Math" w:hAnsi="Cambria Math"/>
              </w:rPr>
              <m:t>y</m:t>
            </m:r>
          </m:e>
          <m:sub>
            <m:r>
              <w:rPr>
                <w:rFonts w:ascii="Cambria Math" w:hAnsi="Cambria Math"/>
              </w:rPr>
              <m:t>it</m:t>
            </m:r>
          </m:sub>
        </m:sSub>
      </m:oMath>
      <w:r w:rsidR="009500D7">
        <w:rPr>
          <w:rFonts w:hint="eastAsia"/>
        </w:rPr>
        <w:t>が</w:t>
      </w:r>
      <w:r w:rsidR="009500D7" w:rsidRPr="009500D7">
        <w:rPr>
          <w:rFonts w:hint="eastAsia"/>
          <w:i/>
        </w:rPr>
        <w:t>j</w:t>
      </w:r>
      <w:r w:rsidR="009500D7">
        <w:rPr>
          <w:rFonts w:hint="eastAsia"/>
        </w:rPr>
        <w:t>となるのは</w:t>
      </w:r>
      <w:r>
        <w:rPr>
          <w:rFonts w:hint="eastAsia"/>
        </w:rPr>
        <w:t>、潜在</w:t>
      </w:r>
      <w:r w:rsidR="007E2C19">
        <w:rPr>
          <w:rFonts w:hint="eastAsia"/>
        </w:rPr>
        <w:t>要</w:t>
      </w:r>
      <w:r>
        <w:rPr>
          <w:rFonts w:hint="eastAsia"/>
        </w:rPr>
        <w:t>介護度</w:t>
      </w:r>
      <m:oMath>
        <m:sSubSup>
          <m:sSubSupPr>
            <m:ctrlPr>
              <w:rPr>
                <w:rFonts w:ascii="Cambria Math" w:hAnsi="Cambria Math"/>
              </w:rPr>
            </m:ctrlPr>
          </m:sSubSupPr>
          <m:e>
            <m:r>
              <w:rPr>
                <w:rFonts w:ascii="Cambria Math" w:hAnsi="Cambria Math"/>
              </w:rPr>
              <m:t>y</m:t>
            </m:r>
          </m:e>
          <m:sub>
            <m:r>
              <w:rPr>
                <w:rFonts w:ascii="Cambria Math" w:hAnsi="Cambria Math"/>
              </w:rPr>
              <m:t>it</m:t>
            </m:r>
          </m:sub>
          <m:sup>
            <m:r>
              <w:rPr>
                <w:rFonts w:ascii="Cambria Math" w:hAnsi="Cambria Math"/>
              </w:rPr>
              <m:t>*</m:t>
            </m:r>
          </m:sup>
        </m:sSubSup>
      </m:oMath>
      <w:r w:rsidR="007E2C19">
        <w:rPr>
          <w:rFonts w:hint="eastAsia"/>
        </w:rPr>
        <w:t>が</w:t>
      </w:r>
      <w:r w:rsidR="00502E42">
        <w:rPr>
          <w:rFonts w:hint="eastAsia"/>
        </w:rPr>
        <w:t>閾値</w:t>
      </w:r>
      <m:oMath>
        <m:sSub>
          <m:sSubPr>
            <m:ctrlPr>
              <w:rPr>
                <w:rFonts w:ascii="Cambria Math" w:hAnsi="Cambria Math"/>
              </w:rPr>
            </m:ctrlPr>
          </m:sSubPr>
          <m:e>
            <m:r>
              <w:rPr>
                <w:rFonts w:ascii="Cambria Math" w:hAnsi="Cambria Math"/>
              </w:rPr>
              <m:t>τ</m:t>
            </m:r>
          </m:e>
          <m:sub>
            <m:r>
              <w:rPr>
                <w:rFonts w:ascii="Cambria Math" w:hAnsi="Cambria Math"/>
              </w:rPr>
              <m:t>j-1</m:t>
            </m:r>
          </m:sub>
        </m:sSub>
      </m:oMath>
      <w:r w:rsidR="00030ACF">
        <w:rPr>
          <w:rFonts w:hint="eastAsia"/>
        </w:rPr>
        <w:t>と</w:t>
      </w:r>
      <m:oMath>
        <m:sSub>
          <m:sSubPr>
            <m:ctrlPr>
              <w:rPr>
                <w:rFonts w:ascii="Cambria Math" w:hAnsi="Cambria Math"/>
              </w:rPr>
            </m:ctrlPr>
          </m:sSubPr>
          <m:e>
            <m:r>
              <w:rPr>
                <w:rFonts w:ascii="Cambria Math" w:hAnsi="Cambria Math"/>
              </w:rPr>
              <m:t>τ</m:t>
            </m:r>
          </m:e>
          <m:sub>
            <m:r>
              <w:rPr>
                <w:rFonts w:ascii="Cambria Math" w:hAnsi="Cambria Math"/>
              </w:rPr>
              <m:t>j</m:t>
            </m:r>
          </m:sub>
        </m:sSub>
      </m:oMath>
      <w:r w:rsidR="00725A39">
        <w:rPr>
          <w:rFonts w:hint="eastAsia"/>
        </w:rPr>
        <w:t>の間にある時である。</w:t>
      </w:r>
    </w:p>
    <w:p w:rsidR="00725A39" w:rsidRPr="00AA3579" w:rsidRDefault="00393933" w:rsidP="00C70907">
      <w:r>
        <w:rPr>
          <w:rFonts w:hint="eastAsia"/>
        </w:rPr>
        <w:t xml:space="preserve">　　　　</w:t>
      </w:r>
      <m:oMath>
        <m:sSub>
          <m:sSubPr>
            <m:ctrlPr>
              <w:rPr>
                <w:rFonts w:ascii="Cambria Math" w:hAnsi="Cambria Math"/>
              </w:rPr>
            </m:ctrlPr>
          </m:sSubPr>
          <m:e>
            <m:r>
              <w:rPr>
                <w:rFonts w:ascii="Cambria Math" w:hAnsi="Cambria Math"/>
              </w:rPr>
              <m:t>y</m:t>
            </m:r>
          </m:e>
          <m:sub>
            <m:r>
              <w:rPr>
                <w:rFonts w:ascii="Cambria Math" w:hAnsi="Cambria Math"/>
              </w:rPr>
              <m:t>it</m:t>
            </m:r>
          </m:sub>
        </m:sSub>
        <m:r>
          <w:rPr>
            <w:rFonts w:ascii="Cambria Math" w:hAnsi="Cambria Math"/>
          </w:rPr>
          <m:t>=j</m:t>
        </m:r>
      </m:oMath>
      <w:r w:rsidR="00D07A68">
        <w:rPr>
          <w:rFonts w:hint="eastAsia"/>
        </w:rPr>
        <w:t xml:space="preserve">　　</w:t>
      </w:r>
      <w:r w:rsidR="00D07A68">
        <w:rPr>
          <w:rFonts w:hint="eastAsia"/>
        </w:rPr>
        <w:t xml:space="preserve">if </w:t>
      </w:r>
      <w:r w:rsidR="00D07A68">
        <w:rPr>
          <w:rFonts w:hint="eastAsia"/>
        </w:rPr>
        <w:t xml:space="preserve">　　</w:t>
      </w:r>
      <m:oMath>
        <m:sSub>
          <m:sSubPr>
            <m:ctrlPr>
              <w:rPr>
                <w:rFonts w:ascii="Cambria Math" w:hAnsi="Cambria Math"/>
              </w:rPr>
            </m:ctrlPr>
          </m:sSubPr>
          <m:e>
            <m:r>
              <w:rPr>
                <w:rFonts w:ascii="Cambria Math" w:hAnsi="Cambria Math"/>
              </w:rPr>
              <m:t>τ</m:t>
            </m:r>
          </m:e>
          <m:sub>
            <m:r>
              <w:rPr>
                <w:rFonts w:ascii="Cambria Math" w:hAnsi="Cambria Math"/>
              </w:rPr>
              <m:t>j-1</m:t>
            </m:r>
          </m:sub>
        </m:sSub>
        <m:r>
          <w:rPr>
            <w:rFonts w:ascii="Cambria Math" w:hAnsi="Cambria Math"/>
          </w:rPr>
          <m:t>&lt;</m:t>
        </m:r>
        <m:sSubSup>
          <m:sSubSupPr>
            <m:ctrlPr>
              <w:rPr>
                <w:rFonts w:ascii="Cambria Math" w:hAnsi="Cambria Math"/>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j</m:t>
            </m:r>
          </m:sub>
        </m:sSub>
      </m:oMath>
    </w:p>
    <w:p w:rsidR="003077CD" w:rsidRDefault="00A01A3B" w:rsidP="00C70907">
      <w:r>
        <w:rPr>
          <w:rFonts w:hint="eastAsia"/>
        </w:rPr>
        <w:t>実際の要介護度</w:t>
      </w:r>
      <m:oMath>
        <m:sSub>
          <m:sSubPr>
            <m:ctrlPr>
              <w:rPr>
                <w:rFonts w:ascii="Cambria Math" w:hAnsi="Cambria Math"/>
              </w:rPr>
            </m:ctrlPr>
          </m:sSubPr>
          <m:e>
            <m:r>
              <w:rPr>
                <w:rFonts w:ascii="Cambria Math" w:hAnsi="Cambria Math"/>
              </w:rPr>
              <m:t>y</m:t>
            </m:r>
          </m:e>
          <m:sub>
            <m:r>
              <w:rPr>
                <w:rFonts w:ascii="Cambria Math" w:hAnsi="Cambria Math"/>
              </w:rPr>
              <m:t>it</m:t>
            </m:r>
          </m:sub>
        </m:sSub>
      </m:oMath>
      <w:r>
        <w:rPr>
          <w:rFonts w:hint="eastAsia"/>
        </w:rPr>
        <w:t>が</w:t>
      </w:r>
      <w:r w:rsidRPr="009500D7">
        <w:rPr>
          <w:rFonts w:hint="eastAsia"/>
          <w:i/>
        </w:rPr>
        <w:t>j</w:t>
      </w:r>
      <w:r>
        <w:rPr>
          <w:rFonts w:hint="eastAsia"/>
        </w:rPr>
        <w:t>となる確率は、</w:t>
      </w:r>
      <m:oMath>
        <m:r>
          <m:rPr>
            <m:sty m:val="p"/>
          </m:rPr>
          <w:rPr>
            <w:rFonts w:ascii="Cambria Math" w:hAnsi="Cambria Math"/>
          </w:rPr>
          <m:t>Λ</m:t>
        </m:r>
      </m:oMath>
      <w:r w:rsidR="00C65BFD">
        <w:rPr>
          <w:rFonts w:hint="eastAsia"/>
        </w:rPr>
        <w:t>をロジット分布として、</w:t>
      </w:r>
      <w:r w:rsidR="006C1DAC">
        <w:rPr>
          <w:rFonts w:hint="eastAsia"/>
        </w:rPr>
        <w:t>次のようになる。</w:t>
      </w:r>
    </w:p>
    <w:p w:rsidR="00621A49" w:rsidRDefault="000F2CCB" w:rsidP="000F2CCB">
      <w:r>
        <w:rPr>
          <w:rFonts w:hint="eastAsia"/>
        </w:rPr>
        <w:t xml:space="preserve">　　　　</w:t>
      </w:r>
      <m:oMath>
        <m:sSub>
          <m:sSubPr>
            <m:ctrlPr>
              <w:rPr>
                <w:rFonts w:ascii="Cambria Math" w:hAnsi="Cambria Math"/>
              </w:rPr>
            </m:ctrlPr>
          </m:sSubPr>
          <m:e>
            <m:r>
              <w:rPr>
                <w:rFonts w:ascii="Cambria Math" w:hAnsi="Cambria Math"/>
              </w:rPr>
              <m:t>P(y</m:t>
            </m:r>
          </m:e>
          <m:sub>
            <m:r>
              <w:rPr>
                <w:rFonts w:ascii="Cambria Math" w:hAnsi="Cambria Math"/>
              </w:rPr>
              <m:t>it</m:t>
            </m:r>
          </m:sub>
        </m:sSub>
        <m:r>
          <w:rPr>
            <w:rFonts w:ascii="Cambria Math" w:hAnsi="Cambria Math"/>
          </w:rPr>
          <m:t>=j)=P</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j-1</m:t>
                </m:r>
              </m:sub>
            </m:sSub>
            <m:r>
              <w:rPr>
                <w:rFonts w:ascii="Cambria Math" w:hAnsi="Cambria Math"/>
              </w:rPr>
              <m:t>&lt;</m:t>
            </m:r>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j</m:t>
                </m:r>
              </m:sub>
            </m:sSub>
          </m:e>
        </m:d>
        <m:r>
          <w:rPr>
            <w:rFonts w:ascii="Cambria Math" w:hAnsi="Cambria Math"/>
          </w:rPr>
          <m:t>=P</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j</m:t>
                </m:r>
              </m:sub>
            </m:sSub>
          </m:e>
        </m:d>
        <m:r>
          <w:rPr>
            <w:rFonts w:ascii="Cambria Math" w:hAnsi="Cambria Math"/>
          </w:rPr>
          <m:t>-P(</m:t>
        </m:r>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j-1</m:t>
            </m:r>
          </m:sub>
        </m:sSub>
        <m:r>
          <w:rPr>
            <w:rFonts w:ascii="Cambria Math" w:hAnsi="Cambria Math"/>
          </w:rPr>
          <m:t>)</m:t>
        </m:r>
      </m:oMath>
    </w:p>
    <w:p w:rsidR="00BA1507" w:rsidRPr="00AA3579" w:rsidRDefault="00BA1507" w:rsidP="00BA1507">
      <w:pPr>
        <w:ind w:firstLineChars="900" w:firstLine="1890"/>
      </w:pPr>
      <m:oMath>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β-ρ</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β-ρ</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e>
        </m:d>
        <m:r>
          <w:rPr>
            <w:rFonts w:ascii="Cambria Math" w:hAnsi="Cambria Math"/>
          </w:rPr>
          <m:t>)</m:t>
        </m:r>
      </m:oMath>
      <w:r>
        <w:rPr>
          <w:rFonts w:hint="eastAsia"/>
        </w:rPr>
        <w:t xml:space="preserve">　　</w:t>
      </w:r>
    </w:p>
    <w:p w:rsidR="002A45E8" w:rsidRPr="00AA3579" w:rsidRDefault="002A45E8" w:rsidP="002A45E8">
      <w:pPr>
        <w:ind w:firstLineChars="900" w:firstLine="1890"/>
      </w:pPr>
      <m:oMath>
        <m:r>
          <m:rPr>
            <m:sty m:val="p"/>
          </m:rP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β-ρ</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e>
        </m:d>
        <m:r>
          <w:rPr>
            <w:rFonts w:ascii="Cambria Math" w:hAnsi="Cambria Math"/>
          </w:rPr>
          <m:t>-</m:t>
        </m:r>
        <m:r>
          <m:rPr>
            <m:sty m:val="p"/>
          </m:rP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β-ρ</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e>
        </m:d>
        <m:r>
          <w:rPr>
            <w:rFonts w:ascii="Cambria Math" w:hAnsi="Cambria Math"/>
          </w:rPr>
          <m:t>)</m:t>
        </m:r>
      </m:oMath>
      <w:r>
        <w:rPr>
          <w:rFonts w:hint="eastAsia"/>
        </w:rPr>
        <w:t xml:space="preserve">　　</w:t>
      </w:r>
    </w:p>
    <w:p w:rsidR="00BA1507" w:rsidRPr="002A45E8" w:rsidRDefault="006A6914" w:rsidP="000F2CCB">
      <w:r>
        <w:rPr>
          <w:rFonts w:hint="eastAsia"/>
        </w:rPr>
        <w:t xml:space="preserve">　推定結果から、各年の要介護度の改善度合いを計測し、さらに、要介護度の改善を</w:t>
      </w:r>
      <w:r>
        <w:rPr>
          <w:rFonts w:hint="eastAsia"/>
        </w:rPr>
        <w:t>QOL</w:t>
      </w:r>
      <w:r>
        <w:rPr>
          <w:rFonts w:hint="eastAsia"/>
        </w:rPr>
        <w:t>に換算して、質の評価を織り込んだ介護サービスのアウトプットを計算した。</w:t>
      </w:r>
      <w:r w:rsidR="001E1233">
        <w:rPr>
          <w:rFonts w:hint="eastAsia"/>
        </w:rPr>
        <w:t>結果は、介護サービスの質の向上を織り込んだ場合、</w:t>
      </w:r>
      <w:r w:rsidR="001E1233" w:rsidRPr="001E1233">
        <w:rPr>
          <w:rFonts w:hint="eastAsia"/>
        </w:rPr>
        <w:t>介護サービスのアウトプット</w:t>
      </w:r>
      <w:r w:rsidR="001E1233">
        <w:rPr>
          <w:rFonts w:hint="eastAsia"/>
        </w:rPr>
        <w:t>の増加の程度は大きくなることが示された。</w:t>
      </w:r>
    </w:p>
    <w:p w:rsidR="00B67909" w:rsidRDefault="006A6914" w:rsidP="00C70907">
      <w:r>
        <w:rPr>
          <w:rFonts w:hint="eastAsia"/>
        </w:rPr>
        <w:t xml:space="preserve">　なお、さらに、</w:t>
      </w:r>
      <w:r w:rsidR="00C70907">
        <w:rPr>
          <w:rFonts w:hint="eastAsia"/>
        </w:rPr>
        <w:t>介護費用が要介護度に与える影響を検証するため、要介護度を被説明変数とし、介護費用等を説明変数とする回帰分析を行</w:t>
      </w:r>
      <w:r>
        <w:rPr>
          <w:rFonts w:hint="eastAsia"/>
        </w:rPr>
        <w:t>った</w:t>
      </w:r>
      <w:r w:rsidR="00C70907">
        <w:rPr>
          <w:rFonts w:hint="eastAsia"/>
        </w:rPr>
        <w:t>。</w:t>
      </w:r>
      <w:r w:rsidR="0071389A">
        <w:rPr>
          <w:rFonts w:hint="eastAsia"/>
        </w:rPr>
        <w:t>すなわち、下記のように、介護費用</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rsidR="0071389A">
        <w:rPr>
          <w:rFonts w:hint="eastAsia"/>
        </w:rPr>
        <w:t>を潜在要介護度の説明変数に加えたモデルを推定した。</w:t>
      </w:r>
    </w:p>
    <w:p w:rsidR="0071389A" w:rsidRDefault="0071389A" w:rsidP="0071389A">
      <w:r>
        <w:rPr>
          <w:rFonts w:hint="eastAsia"/>
        </w:rPr>
        <w:t xml:space="preserve">　　　　</w:t>
      </w:r>
      <m:oMath>
        <m:sSubSup>
          <m:sSubSupPr>
            <m:ctrlPr>
              <w:rPr>
                <w:rFonts w:ascii="Cambria Math" w:hAnsi="Cambria Math"/>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β+γ</m:t>
        </m:r>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+ρ</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p>
    <w:p w:rsidR="00731469" w:rsidRDefault="00814C25" w:rsidP="00B2797C">
      <w:r>
        <w:rPr>
          <w:rFonts w:hint="eastAsia"/>
        </w:rPr>
        <w:t xml:space="preserve">　推定に当たっては、介護費用が要介護度などの影響を受けて内生的に決まることによるバイアスを排除する必要がある。これについては、</w:t>
      </w:r>
      <w:r>
        <w:rPr>
          <w:rFonts w:hint="eastAsia"/>
        </w:rPr>
        <w:t>Wooldridge(2005)</w:t>
      </w:r>
      <w:r>
        <w:rPr>
          <w:rFonts w:hint="eastAsia"/>
        </w:rPr>
        <w:t>にならって、</w:t>
      </w:r>
      <w:r w:rsidR="00715BA2">
        <w:rPr>
          <w:rFonts w:hint="eastAsia"/>
        </w:rPr>
        <w:t>個人の</w:t>
      </w:r>
      <w:r w:rsidR="00715BA2">
        <w:rPr>
          <w:rFonts w:hint="eastAsia"/>
        </w:rPr>
        <w:lastRenderedPageBreak/>
        <w:t>固有効果</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00715BA2">
        <w:rPr>
          <w:rFonts w:hint="eastAsia"/>
        </w:rPr>
        <w:t>が介護費用</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rsidR="00715BA2">
        <w:rPr>
          <w:rFonts w:hint="eastAsia"/>
        </w:rPr>
        <w:t>等に依存すると定式化し、</w:t>
      </w:r>
      <w:r w:rsidR="00730AB6">
        <w:rPr>
          <w:rFonts w:hint="eastAsia"/>
        </w:rPr>
        <w:t>各期の説明変数に当該個人の介護費用</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rsidR="00730AB6">
        <w:rPr>
          <w:rFonts w:hint="eastAsia"/>
        </w:rPr>
        <w:t>等の平均値を加えることにより内生性をコントロールした。</w:t>
      </w:r>
      <w:r w:rsidR="00EC5848">
        <w:rPr>
          <w:rFonts w:hint="eastAsia"/>
        </w:rPr>
        <w:t>すなわち、</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00EC5848">
        <w:rPr>
          <w:rFonts w:hint="eastAsia"/>
        </w:rPr>
        <w:t>に影響を与える要因</w:t>
      </w:r>
      <m:oMath>
        <m:r>
          <m:rPr>
            <m:sty m:val="p"/>
          </m:rPr>
          <w:rPr>
            <w:rFonts w:ascii="Cambria Math" w:hAnsi="Cambria Math" w:hint="eastAsia"/>
          </w:rPr>
          <m:t>のベクトルを</m:t>
        </m:r>
        <m:sSub>
          <m:sSubPr>
            <m:ctrlPr>
              <w:rPr>
                <w:rFonts w:ascii="Cambria Math" w:hAnsi="Cambria Math"/>
                <w:i/>
              </w:rPr>
            </m:ctrlPr>
          </m:sSubPr>
          <m:e>
            <m:r>
              <w:rPr>
                <w:rFonts w:ascii="Cambria Math" w:hAnsi="Cambria Math"/>
              </w:rPr>
              <m:t>z</m:t>
            </m:r>
          </m:e>
          <m:sub>
            <m:r>
              <w:rPr>
                <w:rFonts w:ascii="Cambria Math" w:hAnsi="Cambria Math"/>
              </w:rPr>
              <m:t>i</m:t>
            </m:r>
          </m:sub>
        </m:sSub>
      </m:oMath>
      <w:r w:rsidR="00EC5848">
        <w:rPr>
          <w:rFonts w:hint="eastAsia"/>
        </w:rPr>
        <w:t>とする（</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m:t>
        </m:r>
      </m:oMath>
      <w:r w:rsidR="001562C3">
        <w:rPr>
          <w:rFonts w:hint="eastAsia"/>
        </w:rPr>
        <w:t>）</w:t>
      </w:r>
      <w:r w:rsidR="00EC5848">
        <w:rPr>
          <w:rFonts w:hint="eastAsia"/>
        </w:rPr>
        <w:t>と</w:t>
      </w:r>
      <w:r w:rsidR="001562C3">
        <w:rPr>
          <w:rFonts w:hint="eastAsia"/>
        </w:rPr>
        <w:t>すると</w:t>
      </w:r>
      <w:r w:rsidR="00EC5848">
        <w:rPr>
          <w:rFonts w:hint="eastAsia"/>
        </w:rPr>
        <w:t>、</w:t>
      </w:r>
    </w:p>
    <w:p w:rsidR="00B2797C" w:rsidRDefault="006C7951" w:rsidP="002034A7">
      <w:pPr>
        <w:ind w:firstLineChars="400" w:firstLine="840"/>
      </w:p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oMath>
      <w:r w:rsidR="00731469">
        <w:rPr>
          <w:rFonts w:hint="eastAsia"/>
        </w:rPr>
        <w:t xml:space="preserve">, </w:t>
      </w:r>
      <m:oMath>
        <m:sSub>
          <m:sSubPr>
            <m:ctrlPr>
              <w:rPr>
                <w:rFonts w:ascii="Cambria Math" w:hAnsi="Cambria Math"/>
              </w:rPr>
            </m:ctrlPr>
          </m:sSubPr>
          <m:e>
            <m:r>
              <w:rPr>
                <w:rFonts w:ascii="Cambria Math" w:hAnsi="Cambria Math"/>
              </w:rPr>
              <m:t>∅</m:t>
            </m:r>
          </m:e>
          <m:sub>
            <m:r>
              <w:rPr>
                <w:rFonts w:ascii="Cambria Math" w:hAnsi="Cambria Math"/>
              </w:rPr>
              <m:t>i</m:t>
            </m:r>
          </m:sub>
        </m:sSub>
        <m:r>
          <w:rPr>
            <w:rFonts w:ascii="Cambria Math" w:hAnsi="Cambria Math"/>
          </w:rPr>
          <m:t>~Nor</m:t>
        </m:r>
        <m:r>
          <w:rPr>
            <w:rFonts w:ascii="Cambria Math" w:hAnsi="Cambria Math"/>
          </w:rPr>
          <m:t xml:space="preserve">manl(0, </m:t>
        </m:r>
        <m:sSubSup>
          <m:sSubSupPr>
            <m:ctrlPr>
              <w:rPr>
                <w:rFonts w:ascii="Cambria Math" w:hAnsi="Cambria Math"/>
                <w:i/>
              </w:rPr>
            </m:ctrlPr>
          </m:sSubSupPr>
          <m:e>
            <m:r>
              <w:rPr>
                <w:rFonts w:ascii="Cambria Math" w:hAnsi="Cambria Math"/>
              </w:rPr>
              <m:t>σ</m:t>
            </m:r>
          </m:e>
          <m:sub>
            <m:r>
              <w:rPr>
                <w:rFonts w:ascii="Cambria Math" w:hAnsi="Cambria Math"/>
              </w:rPr>
              <m:t>ϕ</m:t>
            </m:r>
          </m:sub>
          <m:sup>
            <m:r>
              <w:rPr>
                <w:rFonts w:ascii="Cambria Math" w:hAnsi="Cambria Math"/>
              </w:rPr>
              <m:t>2</m:t>
            </m:r>
          </m:sup>
        </m:sSubSup>
        <m:r>
          <w:rPr>
            <w:rFonts w:ascii="Cambria Math" w:hAnsi="Cambria Math"/>
          </w:rPr>
          <m:t>)</m:t>
        </m:r>
      </m:oMath>
    </w:p>
    <w:p w:rsidR="00881B24" w:rsidRDefault="00E9520F" w:rsidP="0071389A">
      <w:r>
        <w:rPr>
          <w:rFonts w:hint="eastAsia"/>
        </w:rPr>
        <w:t xml:space="preserve">　また、四半期データでは死亡等による脱落が多くみられる。</w:t>
      </w:r>
      <w:r w:rsidR="00DC0FC1">
        <w:rPr>
          <w:rFonts w:hint="eastAsia"/>
        </w:rPr>
        <w:t>この脱落が、</w:t>
      </w:r>
      <w:r w:rsidR="00DC0FC1">
        <w:rPr>
          <w:rFonts w:hint="eastAsia"/>
        </w:rPr>
        <w:t>Missing Completely at Random</w:t>
      </w:r>
      <w:r w:rsidR="00DC0FC1">
        <w:rPr>
          <w:rFonts w:hint="eastAsia"/>
        </w:rPr>
        <w:t>（</w:t>
      </w:r>
      <w:r w:rsidR="00DC0FC1">
        <w:rPr>
          <w:rFonts w:hint="eastAsia"/>
        </w:rPr>
        <w:t>MCAR</w:t>
      </w:r>
      <w:r w:rsidR="00DC0FC1">
        <w:rPr>
          <w:rFonts w:hint="eastAsia"/>
        </w:rPr>
        <w:t>）または</w:t>
      </w:r>
      <w:r w:rsidR="00DC0FC1" w:rsidRPr="00DC0FC1">
        <w:t xml:space="preserve">Missing </w:t>
      </w:r>
      <w:r w:rsidR="00DC0FC1">
        <w:rPr>
          <w:rFonts w:hint="eastAsia"/>
        </w:rPr>
        <w:t>a</w:t>
      </w:r>
      <w:r w:rsidR="00DC0FC1" w:rsidRPr="00DC0FC1">
        <w:t>t Random</w:t>
      </w:r>
      <w:r w:rsidR="00DC0FC1">
        <w:rPr>
          <w:rFonts w:hint="eastAsia"/>
        </w:rPr>
        <w:t>（</w:t>
      </w:r>
      <w:r w:rsidR="00DC0FC1">
        <w:rPr>
          <w:rFonts w:hint="eastAsia"/>
        </w:rPr>
        <w:t>MAR</w:t>
      </w:r>
      <w:r w:rsidR="00DC0FC1">
        <w:rPr>
          <w:rFonts w:hint="eastAsia"/>
        </w:rPr>
        <w:t>）</w:t>
      </w:r>
      <w:r w:rsidR="00556379">
        <w:rPr>
          <w:rFonts w:hint="eastAsia"/>
        </w:rPr>
        <w:t>であれば問題ないが、</w:t>
      </w:r>
      <w:r w:rsidR="00556379">
        <w:rPr>
          <w:rFonts w:hint="eastAsia"/>
        </w:rPr>
        <w:t>Missing Not At Random</w:t>
      </w:r>
      <w:r w:rsidR="00556379">
        <w:rPr>
          <w:rFonts w:hint="eastAsia"/>
        </w:rPr>
        <w:t>（</w:t>
      </w:r>
      <w:r w:rsidR="00556379">
        <w:rPr>
          <w:rFonts w:hint="eastAsia"/>
        </w:rPr>
        <w:t>MNAR</w:t>
      </w:r>
      <w:r w:rsidR="00556379">
        <w:rPr>
          <w:rFonts w:hint="eastAsia"/>
        </w:rPr>
        <w:t>）の場合には、脱落メカニズムも考慮して推定する必要がある</w:t>
      </w:r>
      <w:r w:rsidR="000528B4">
        <w:rPr>
          <w:rFonts w:hint="eastAsia"/>
        </w:rPr>
        <w:t>。こうしたモデルとしては、</w:t>
      </w:r>
      <w:r w:rsidR="000528B4">
        <w:rPr>
          <w:rFonts w:hint="eastAsia"/>
        </w:rPr>
        <w:t>Selection models</w:t>
      </w:r>
      <w:r w:rsidR="000528B4">
        <w:rPr>
          <w:rFonts w:hint="eastAsia"/>
        </w:rPr>
        <w:t>、</w:t>
      </w:r>
      <w:r w:rsidR="000528B4">
        <w:rPr>
          <w:rFonts w:hint="eastAsia"/>
        </w:rPr>
        <w:t>Pattern mixture models</w:t>
      </w:r>
      <w:r w:rsidR="000528B4">
        <w:rPr>
          <w:rFonts w:hint="eastAsia"/>
        </w:rPr>
        <w:t>及び</w:t>
      </w:r>
      <w:r w:rsidR="000528B4">
        <w:rPr>
          <w:rFonts w:hint="eastAsia"/>
        </w:rPr>
        <w:t>Shared parameter models</w:t>
      </w:r>
      <w:r w:rsidR="000528B4">
        <w:rPr>
          <w:rFonts w:hint="eastAsia"/>
        </w:rPr>
        <w:t>がある</w:t>
      </w:r>
      <w:r w:rsidR="00556379">
        <w:rPr>
          <w:rFonts w:hint="eastAsia"/>
        </w:rPr>
        <w:t>（</w:t>
      </w:r>
      <w:r w:rsidR="00556379">
        <w:rPr>
          <w:rFonts w:hint="eastAsia"/>
        </w:rPr>
        <w:t>Daniels and Hogan, 2008</w:t>
      </w:r>
      <w:r w:rsidR="00556379">
        <w:rPr>
          <w:rFonts w:hint="eastAsia"/>
        </w:rPr>
        <w:t>）。</w:t>
      </w:r>
      <w:r w:rsidR="00CB2155">
        <w:rPr>
          <w:rFonts w:hint="eastAsia"/>
        </w:rPr>
        <w:t>ここでは、</w:t>
      </w:r>
      <w:r w:rsidR="00B852A4">
        <w:rPr>
          <w:rFonts w:hint="eastAsia"/>
        </w:rPr>
        <w:t xml:space="preserve">Lesaffre and Lawson </w:t>
      </w:r>
      <w:r w:rsidR="00477843">
        <w:rPr>
          <w:rFonts w:hint="eastAsia"/>
        </w:rPr>
        <w:t>(</w:t>
      </w:r>
      <w:r w:rsidR="00B852A4">
        <w:rPr>
          <w:rFonts w:hint="eastAsia"/>
        </w:rPr>
        <w:t>2012</w:t>
      </w:r>
      <w:r w:rsidR="00477843">
        <w:rPr>
          <w:rFonts w:hint="eastAsia"/>
        </w:rPr>
        <w:t>)</w:t>
      </w:r>
      <w:r w:rsidR="00477843">
        <w:rPr>
          <w:rFonts w:hint="eastAsia"/>
        </w:rPr>
        <w:t>にならって、</w:t>
      </w:r>
      <w:r w:rsidR="00966BE6" w:rsidRPr="00966BE6">
        <w:t>Shared parameter model</w:t>
      </w:r>
      <w:r w:rsidR="00966BE6">
        <w:rPr>
          <w:rFonts w:hint="eastAsia"/>
        </w:rPr>
        <w:t>において各人の固有効果が脱落メカニズムと</w:t>
      </w:r>
      <w:r w:rsidR="00966BE6">
        <w:rPr>
          <w:rFonts w:hint="eastAsia"/>
        </w:rPr>
        <w:t>Response model</w:t>
      </w:r>
      <w:r w:rsidR="00966BE6">
        <w:rPr>
          <w:rFonts w:hint="eastAsia"/>
        </w:rPr>
        <w:t>とにシェアされており、かつ、固有効果に条件付けると脱落を表す変数</w:t>
      </w:r>
      <m:oMath>
        <m:sSub>
          <m:sSubPr>
            <m:ctrlPr>
              <w:rPr>
                <w:rFonts w:ascii="Cambria Math" w:hAnsi="Cambria Math"/>
              </w:rPr>
            </m:ctrlPr>
          </m:sSubPr>
          <m:e>
            <m:r>
              <w:rPr>
                <w:rFonts w:ascii="Cambria Math" w:hAnsi="Cambria Math"/>
              </w:rPr>
              <m:t>r</m:t>
            </m:r>
          </m:e>
          <m:sub>
            <m:r>
              <w:rPr>
                <w:rFonts w:ascii="Cambria Math" w:hAnsi="Cambria Math"/>
              </w:rPr>
              <m:t>i</m:t>
            </m:r>
          </m:sub>
        </m:sSub>
      </m:oMath>
      <w:r w:rsidR="00AC78D5">
        <w:rPr>
          <w:rFonts w:hint="eastAsia"/>
        </w:rPr>
        <w:t>と</w:t>
      </w:r>
      <w:r w:rsidR="00AC78D5" w:rsidRPr="00AC78D5">
        <w:t>Response</w:t>
      </w:r>
      <w:r w:rsidR="00AC78D5">
        <w:rPr>
          <w:rFonts w:hint="eastAsia"/>
        </w:rPr>
        <w:t>変数</w:t>
      </w:r>
      <m:oMath>
        <m:sSub>
          <m:sSubPr>
            <m:ctrlPr>
              <w:rPr>
                <w:rFonts w:ascii="Cambria Math" w:hAnsi="Cambria Math"/>
              </w:rPr>
            </m:ctrlPr>
          </m:sSubPr>
          <m:e>
            <m:r>
              <w:rPr>
                <w:rFonts w:ascii="Cambria Math" w:hAnsi="Cambria Math"/>
              </w:rPr>
              <m:t>y</m:t>
            </m:r>
          </m:e>
          <m:sub>
            <m:r>
              <w:rPr>
                <w:rFonts w:ascii="Cambria Math" w:hAnsi="Cambria Math"/>
              </w:rPr>
              <m:t>i</m:t>
            </m:r>
          </m:sub>
        </m:sSub>
      </m:oMath>
      <w:r w:rsidR="00AC78D5">
        <w:rPr>
          <w:rFonts w:hint="eastAsia"/>
        </w:rPr>
        <w:t>は独立であると仮定した。</w:t>
      </w:r>
      <w:r w:rsidR="00812E9F" w:rsidRPr="00812E9F">
        <w:rPr>
          <w:rFonts w:hint="eastAsia"/>
        </w:rPr>
        <w:t>脱落変数と</w:t>
      </w:r>
      <w:r w:rsidR="00812E9F" w:rsidRPr="00812E9F">
        <w:rPr>
          <w:rFonts w:hint="eastAsia"/>
        </w:rPr>
        <w:t>Response</w:t>
      </w:r>
      <w:r w:rsidR="00812E9F" w:rsidRPr="00812E9F">
        <w:rPr>
          <w:rFonts w:hint="eastAsia"/>
        </w:rPr>
        <w:t>変数</w:t>
      </w:r>
      <w:r w:rsidR="00812E9F">
        <w:rPr>
          <w:rFonts w:hint="eastAsia"/>
        </w:rPr>
        <w:t>に影響する変数をそれぞれ</w:t>
      </w:r>
      <m:oMath>
        <m:sSub>
          <m:sSubPr>
            <m:ctrlPr>
              <w:rPr>
                <w:rFonts w:ascii="Cambria Math" w:hAnsi="Cambria Math"/>
              </w:rPr>
            </m:ctrlPr>
          </m:sSubPr>
          <m:e>
            <m:r>
              <w:rPr>
                <w:rFonts w:ascii="Cambria Math" w:hAnsi="Cambria Math"/>
              </w:rPr>
              <m:t>w</m:t>
            </m:r>
          </m:e>
          <m:sub>
            <m:r>
              <w:rPr>
                <w:rFonts w:ascii="Cambria Math" w:hAnsi="Cambria Math"/>
              </w:rPr>
              <m:t>i</m:t>
            </m:r>
          </m:sub>
        </m:sSub>
      </m:oMath>
      <w:r w:rsidR="00C44623">
        <w:rPr>
          <w:rFonts w:hint="eastAsia"/>
        </w:rPr>
        <w:t>及び</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00C44623">
        <w:rPr>
          <w:rFonts w:hint="eastAsia"/>
        </w:rPr>
        <w:t>とすると、</w:t>
      </w:r>
    </w:p>
    <w:p w:rsidR="00862D05" w:rsidRDefault="00862D05" w:rsidP="00862D05">
      <w:r>
        <w:rPr>
          <w:rFonts w:hint="eastAsia"/>
        </w:rPr>
        <w:t xml:space="preserve">　　　　</w:t>
      </w:r>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ctrlPr>
              <w:rPr>
                <w:rFonts w:ascii="Cambria Math" w:hAnsi="Cambria Math"/>
                <w:i/>
              </w:rPr>
            </m:ctrlPr>
          </m:e>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ctrlPr>
              <w:rPr>
                <w:rFonts w:ascii="Cambria Math" w:hAnsi="Cambria Math"/>
                <w:i/>
              </w:rPr>
            </m:ctrlPr>
          </m:e>
        </m:d>
        <m:r>
          <w:rPr>
            <w:rFonts w:ascii="Cambria Math" w:hAnsi="Cambria Math"/>
          </w:rPr>
          <m:t>=</m:t>
        </m:r>
        <m:sSub>
          <m:sSubPr>
            <m:ctrlPr>
              <w:rPr>
                <w:rFonts w:ascii="Cambria Math" w:hAnsi="Cambria Math"/>
                <w:i/>
              </w:rPr>
            </m:ctrlPr>
          </m:sSubPr>
          <m:e>
            <m:nary>
              <m:naryPr>
                <m:limLoc m:val="undOvr"/>
                <m:subHide m:val="1"/>
                <m:supHide m:val="1"/>
                <m:ctrlPr>
                  <w:rPr>
                    <w:rFonts w:ascii="Cambria Math" w:hAnsi="Cambria Math"/>
                    <w:i/>
                  </w:rPr>
                </m:ctrlPr>
              </m:naryPr>
              <m:sub/>
              <m:sup/>
              <m:e>
                <m:r>
                  <w:rPr>
                    <w:rFonts w:ascii="Cambria Math" w:hAnsi="Cambria Math"/>
                  </w:rPr>
                  <m:t>p(</m:t>
                </m:r>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m:t>
                </m:r>
              </m:sub>
            </m:sSub>
          </m:e>
        </m:d>
        <m:r>
          <m:rPr>
            <m:sty m:val="p"/>
          </m:rP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i</m:t>
            </m:r>
          </m:sub>
        </m:sSub>
      </m:oMath>
    </w:p>
    <w:p w:rsidR="00814C25" w:rsidRPr="00FE6630" w:rsidRDefault="00D6731C" w:rsidP="0071389A">
      <w:r>
        <w:rPr>
          <w:rFonts w:hint="eastAsia"/>
        </w:rPr>
        <w:t>このうち</w:t>
      </w:r>
      <w:r w:rsidR="00881B24">
        <w:rPr>
          <w:rFonts w:hint="eastAsia"/>
        </w:rPr>
        <w:t>、</w:t>
      </w:r>
      <w:r w:rsidRPr="00D6731C">
        <w:rPr>
          <w:rFonts w:hint="eastAsia"/>
        </w:rPr>
        <w:t>脱落メカニズム</w:t>
      </w:r>
      <w:r>
        <w:rPr>
          <w:rFonts w:hint="eastAsia"/>
        </w:rPr>
        <w:t>については、</w:t>
      </w:r>
      <w:r w:rsidR="00B852A4" w:rsidRPr="00B852A4">
        <w:t>Albert and Follmann(2003)</w:t>
      </w:r>
      <w:r>
        <w:rPr>
          <w:rFonts w:hint="eastAsia"/>
        </w:rPr>
        <w:t>にならって、</w:t>
      </w:r>
      <w:r w:rsidR="00A063CE">
        <w:rPr>
          <w:rFonts w:hint="eastAsia"/>
        </w:rPr>
        <w:t>Observed</w:t>
      </w:r>
      <w:r w:rsidR="00A063CE">
        <w:rPr>
          <w:rFonts w:hint="eastAsia"/>
        </w:rPr>
        <w:t>、</w:t>
      </w:r>
      <w:r w:rsidR="00A063CE">
        <w:rPr>
          <w:rFonts w:hint="eastAsia"/>
        </w:rPr>
        <w:t>Intermittent missing</w:t>
      </w:r>
      <w:r w:rsidR="00A063CE">
        <w:rPr>
          <w:rFonts w:hint="eastAsia"/>
        </w:rPr>
        <w:t>及び</w:t>
      </w:r>
      <w:r w:rsidR="00A063CE">
        <w:rPr>
          <w:rFonts w:hint="eastAsia"/>
        </w:rPr>
        <w:t>Drop out</w:t>
      </w:r>
      <w:r w:rsidR="00A063CE">
        <w:rPr>
          <w:rFonts w:hint="eastAsia"/>
        </w:rPr>
        <w:t>の</w:t>
      </w:r>
      <w:r w:rsidR="00A063CE">
        <w:rPr>
          <w:rFonts w:hint="eastAsia"/>
        </w:rPr>
        <w:t>3</w:t>
      </w:r>
      <w:r w:rsidR="00A063CE">
        <w:rPr>
          <w:rFonts w:hint="eastAsia"/>
        </w:rPr>
        <w:t>つ</w:t>
      </w:r>
      <w:r w:rsidR="00A01412">
        <w:rPr>
          <w:rFonts w:hint="eastAsia"/>
        </w:rPr>
        <w:t>のパターン</w:t>
      </w:r>
      <w:r w:rsidR="00A063CE">
        <w:rPr>
          <w:rFonts w:hint="eastAsia"/>
        </w:rPr>
        <w:t>に区分した。</w:t>
      </w:r>
    </w:p>
    <w:p w:rsidR="006A6914" w:rsidRPr="0071389A" w:rsidRDefault="00086AA9" w:rsidP="00087610">
      <w:pPr>
        <w:ind w:firstLineChars="100" w:firstLine="210"/>
      </w:pPr>
      <w:r>
        <w:rPr>
          <w:rFonts w:hint="eastAsia"/>
        </w:rPr>
        <w:t>結果は介護費用が有意に要介護度を低下させることが確認された。</w:t>
      </w:r>
    </w:p>
    <w:p w:rsidR="006A6914" w:rsidRDefault="006A6914" w:rsidP="00C70907"/>
    <w:p w:rsidR="000F37F1" w:rsidRDefault="000F37F1"/>
    <w:p w:rsidR="00303953" w:rsidRDefault="00303953"/>
    <w:p w:rsidR="000F37F1" w:rsidRDefault="000F37F1" w:rsidP="00F33FE9">
      <w:pPr>
        <w:jc w:val="center"/>
      </w:pPr>
      <w:r>
        <w:rPr>
          <w:rFonts w:hint="eastAsia"/>
        </w:rPr>
        <w:t>引用文献</w:t>
      </w:r>
    </w:p>
    <w:p w:rsidR="00B67909" w:rsidRDefault="00B67909"/>
    <w:p w:rsidR="00E213C2" w:rsidRDefault="00E213C2" w:rsidP="00C6531B">
      <w:pPr>
        <w:ind w:left="567" w:hangingChars="270" w:hanging="567"/>
      </w:pPr>
      <w:r>
        <w:rPr>
          <w:rFonts w:hint="eastAsia"/>
        </w:rPr>
        <w:t xml:space="preserve">Albert, Paul, and Dean Follmann. (2003) A Random Effects Transition Model for Longitudinal Binary Data with Informative Missingness. </w:t>
      </w:r>
      <w:r w:rsidRPr="00C6531B">
        <w:rPr>
          <w:rFonts w:hint="eastAsia"/>
          <w:i/>
        </w:rPr>
        <w:t>Statistica Neerlandica</w:t>
      </w:r>
      <w:r>
        <w:rPr>
          <w:rFonts w:hint="eastAsia"/>
        </w:rPr>
        <w:t>, vol.57, No.1, pp.100-111.</w:t>
      </w:r>
    </w:p>
    <w:p w:rsidR="000F37F1" w:rsidRDefault="000F37F1" w:rsidP="000F37F1">
      <w:pPr>
        <w:autoSpaceDE w:val="0"/>
        <w:autoSpaceDN w:val="0"/>
        <w:adjustRightInd w:val="0"/>
        <w:jc w:val="left"/>
        <w:rPr>
          <w:rFonts w:ascii="Times New Roman" w:hAnsi="Times New Roman" w:cs="Times New Roman"/>
          <w:i/>
          <w:iCs/>
          <w:color w:val="000000"/>
          <w:kern w:val="0"/>
          <w:szCs w:val="21"/>
        </w:rPr>
      </w:pPr>
      <w:r>
        <w:rPr>
          <w:rFonts w:ascii="TimesNewRomanPSMT" w:hAnsi="TimesNewRomanPSMT" w:cs="TimesNewRomanPSMT"/>
          <w:color w:val="000000"/>
          <w:kern w:val="0"/>
          <w:szCs w:val="21"/>
        </w:rPr>
        <w:t xml:space="preserve">Atkinson, T. (2005) </w:t>
      </w:r>
      <w:r>
        <w:rPr>
          <w:rFonts w:ascii="Times New Roman" w:hAnsi="Times New Roman" w:cs="Times New Roman"/>
          <w:i/>
          <w:iCs/>
          <w:color w:val="000000"/>
          <w:kern w:val="0"/>
          <w:szCs w:val="21"/>
        </w:rPr>
        <w:t>Atkinson Review: Final Report Measurement of Government Output and</w:t>
      </w:r>
    </w:p>
    <w:p w:rsidR="00300524" w:rsidRDefault="000F37F1" w:rsidP="00F33FE9">
      <w:pPr>
        <w:autoSpaceDE w:val="0"/>
        <w:autoSpaceDN w:val="0"/>
        <w:adjustRightInd w:val="0"/>
        <w:ind w:leftChars="270" w:left="567"/>
        <w:jc w:val="left"/>
        <w:rPr>
          <w:rFonts w:ascii="Times New Roman" w:hAnsi="Times New Roman" w:cs="Times New Roman"/>
          <w:i/>
          <w:iCs/>
          <w:color w:val="000000"/>
          <w:kern w:val="0"/>
          <w:szCs w:val="21"/>
        </w:rPr>
      </w:pPr>
      <w:r>
        <w:rPr>
          <w:rFonts w:ascii="Times New Roman" w:hAnsi="Times New Roman" w:cs="Times New Roman"/>
          <w:i/>
          <w:iCs/>
          <w:color w:val="000000"/>
          <w:kern w:val="0"/>
          <w:szCs w:val="21"/>
        </w:rPr>
        <w:t>Productivity for National Accounts</w:t>
      </w:r>
      <w:r w:rsidR="00300524">
        <w:rPr>
          <w:rFonts w:ascii="Times New Roman" w:hAnsi="Times New Roman" w:cs="Times New Roman" w:hint="eastAsia"/>
          <w:i/>
          <w:iCs/>
          <w:color w:val="000000"/>
          <w:kern w:val="0"/>
          <w:szCs w:val="21"/>
        </w:rPr>
        <w:t>.</w:t>
      </w:r>
    </w:p>
    <w:p w:rsidR="000F37F1" w:rsidRDefault="000F37F1" w:rsidP="000F37F1">
      <w:pPr>
        <w:autoSpaceDE w:val="0"/>
        <w:autoSpaceDN w:val="0"/>
        <w:adjustRightInd w:val="0"/>
        <w:jc w:val="left"/>
        <w:rPr>
          <w:rFonts w:ascii="TimesNewRomanPSMT" w:hAnsi="TimesNewRomanPSMT" w:cs="TimesNewRomanPSMT"/>
          <w:color w:val="000000"/>
          <w:kern w:val="0"/>
          <w:szCs w:val="21"/>
        </w:rPr>
      </w:pPr>
      <w:r>
        <w:rPr>
          <w:rFonts w:ascii="TimesNewRomanPSMT" w:hAnsi="TimesNewRomanPSMT" w:cs="TimesNewRomanPSMT"/>
          <w:color w:val="000000"/>
          <w:kern w:val="0"/>
          <w:szCs w:val="21"/>
        </w:rPr>
        <w:t xml:space="preserve">Castelli, A., D. Dawson, H. </w:t>
      </w:r>
      <w:r w:rsidR="00795150">
        <w:rPr>
          <w:rFonts w:ascii="TimesNewRomanPSMT" w:hAnsi="TimesNewRomanPSMT" w:cs="TimesNewRomanPSMT"/>
          <w:color w:val="000000"/>
          <w:kern w:val="0"/>
          <w:szCs w:val="21"/>
        </w:rPr>
        <w:t xml:space="preserve">Gravelle, and A. Street (2007) </w:t>
      </w:r>
      <w:r>
        <w:rPr>
          <w:rFonts w:ascii="TimesNewRomanPSMT" w:hAnsi="TimesNewRomanPSMT" w:cs="TimesNewRomanPSMT"/>
          <w:color w:val="000000"/>
          <w:kern w:val="0"/>
          <w:szCs w:val="21"/>
        </w:rPr>
        <w:t>Improving the Measurement of Health</w:t>
      </w:r>
    </w:p>
    <w:p w:rsidR="000F37F1" w:rsidRDefault="000F37F1" w:rsidP="00F33FE9">
      <w:pPr>
        <w:autoSpaceDE w:val="0"/>
        <w:autoSpaceDN w:val="0"/>
        <w:adjustRightInd w:val="0"/>
        <w:ind w:leftChars="270" w:left="567"/>
        <w:jc w:val="left"/>
        <w:rPr>
          <w:rFonts w:ascii="TimesNewRomanPSMT" w:hAnsi="TimesNewRomanPSMT" w:cs="TimesNewRomanPSMT"/>
          <w:color w:val="000000"/>
          <w:kern w:val="0"/>
          <w:szCs w:val="21"/>
        </w:rPr>
      </w:pPr>
      <w:r>
        <w:rPr>
          <w:rFonts w:ascii="TimesNewRomanPSMT" w:hAnsi="TimesNewRomanPSMT" w:cs="TimesNewRomanPSMT"/>
          <w:color w:val="000000"/>
          <w:kern w:val="0"/>
          <w:szCs w:val="21"/>
        </w:rPr>
        <w:t xml:space="preserve">System Output Growth. </w:t>
      </w:r>
      <w:r w:rsidRPr="00795150">
        <w:rPr>
          <w:rFonts w:ascii="TimesNewRomanPSMT" w:hAnsi="TimesNewRomanPSMT" w:cs="TimesNewRomanPSMT"/>
          <w:i/>
          <w:color w:val="000000"/>
          <w:kern w:val="0"/>
          <w:szCs w:val="21"/>
        </w:rPr>
        <w:t>Health Economics</w:t>
      </w:r>
      <w:r>
        <w:rPr>
          <w:rFonts w:ascii="TimesNewRomanPSMT" w:hAnsi="TimesNewRomanPSMT" w:cs="TimesNewRomanPSMT"/>
          <w:color w:val="000000"/>
          <w:kern w:val="0"/>
          <w:szCs w:val="21"/>
        </w:rPr>
        <w:t xml:space="preserve"> 16: 1091-1107.</w:t>
      </w:r>
    </w:p>
    <w:p w:rsidR="000F37F1" w:rsidRDefault="000F37F1" w:rsidP="000F37F1">
      <w:pPr>
        <w:autoSpaceDE w:val="0"/>
        <w:autoSpaceDN w:val="0"/>
        <w:adjustRightInd w:val="0"/>
        <w:jc w:val="left"/>
        <w:rPr>
          <w:rFonts w:ascii="TimesNewRomanPSMT" w:hAnsi="TimesNewRomanPSMT" w:cs="TimesNewRomanPSMT"/>
          <w:color w:val="000000"/>
          <w:kern w:val="0"/>
          <w:szCs w:val="21"/>
        </w:rPr>
      </w:pPr>
      <w:r>
        <w:rPr>
          <w:rFonts w:ascii="TimesNewRomanPSMT" w:hAnsi="TimesNewRomanPSMT" w:cs="TimesNewRomanPSMT"/>
          <w:color w:val="000000"/>
          <w:kern w:val="0"/>
          <w:szCs w:val="21"/>
        </w:rPr>
        <w:t>Castelli, A., M. La</w:t>
      </w:r>
      <w:r w:rsidR="00795150">
        <w:rPr>
          <w:rFonts w:ascii="TimesNewRomanPSMT" w:hAnsi="TimesNewRomanPSMT" w:cs="TimesNewRomanPSMT"/>
          <w:color w:val="000000"/>
          <w:kern w:val="0"/>
          <w:szCs w:val="21"/>
        </w:rPr>
        <w:t xml:space="preserve">udicella, and A. Street (2008) </w:t>
      </w:r>
      <w:r>
        <w:rPr>
          <w:rFonts w:ascii="TimesNewRomanPSMT" w:hAnsi="TimesNewRomanPSMT" w:cs="TimesNewRomanPSMT"/>
          <w:color w:val="000000"/>
          <w:kern w:val="0"/>
          <w:szCs w:val="21"/>
        </w:rPr>
        <w:t>Measuring NHS Output Growth</w:t>
      </w:r>
      <w:r w:rsidR="00795150">
        <w:rPr>
          <w:rFonts w:ascii="TimesNewRomanPSMT" w:hAnsi="TimesNewRomanPSMT" w:cs="TimesNewRomanPSMT" w:hint="eastAsia"/>
          <w:color w:val="000000"/>
          <w:kern w:val="0"/>
          <w:szCs w:val="21"/>
        </w:rPr>
        <w:t>.</w:t>
      </w:r>
      <w:r>
        <w:rPr>
          <w:rFonts w:ascii="TimesNewRomanPSMT" w:hAnsi="TimesNewRomanPSMT" w:cs="TimesNewRomanPSMT"/>
          <w:color w:val="000000"/>
          <w:kern w:val="0"/>
          <w:szCs w:val="21"/>
        </w:rPr>
        <w:t xml:space="preserve"> CHE Research</w:t>
      </w:r>
    </w:p>
    <w:p w:rsidR="000F37F1" w:rsidRDefault="000F37F1" w:rsidP="00F33FE9">
      <w:pPr>
        <w:autoSpaceDE w:val="0"/>
        <w:autoSpaceDN w:val="0"/>
        <w:adjustRightInd w:val="0"/>
        <w:ind w:leftChars="270" w:left="567"/>
        <w:jc w:val="left"/>
        <w:rPr>
          <w:rFonts w:ascii="TimesNewRomanPSMT" w:hAnsi="TimesNewRomanPSMT" w:cs="TimesNewRomanPSMT"/>
          <w:color w:val="000000"/>
          <w:kern w:val="0"/>
          <w:szCs w:val="21"/>
        </w:rPr>
      </w:pPr>
      <w:r>
        <w:rPr>
          <w:rFonts w:ascii="TimesNewRomanPSMT" w:hAnsi="TimesNewRomanPSMT" w:cs="TimesNewRomanPSMT"/>
          <w:color w:val="000000"/>
          <w:kern w:val="0"/>
          <w:szCs w:val="21"/>
        </w:rPr>
        <w:t>Paper 43, Centre for Health Economics, University of York.</w:t>
      </w:r>
    </w:p>
    <w:p w:rsidR="001634E4" w:rsidRDefault="00E038EE" w:rsidP="001634E4">
      <w:pPr>
        <w:autoSpaceDE w:val="0"/>
        <w:autoSpaceDN w:val="0"/>
        <w:adjustRightInd w:val="0"/>
        <w:jc w:val="left"/>
        <w:rPr>
          <w:rFonts w:ascii="TimesNewRomanPSMT" w:hAnsi="TimesNewRomanPSMT" w:cs="TimesNewRomanPSMT"/>
          <w:color w:val="000000"/>
          <w:kern w:val="0"/>
          <w:szCs w:val="21"/>
        </w:rPr>
      </w:pPr>
      <w:r w:rsidRPr="00E038EE">
        <w:rPr>
          <w:rFonts w:ascii="TimesNewRomanPSMT" w:hAnsi="TimesNewRomanPSMT" w:cs="TimesNewRomanPSMT"/>
          <w:color w:val="000000"/>
          <w:kern w:val="0"/>
          <w:szCs w:val="21"/>
        </w:rPr>
        <w:t xml:space="preserve">Castelli A, Laudicella M, Street A, Ward P. </w:t>
      </w:r>
      <w:r w:rsidR="00D14670">
        <w:rPr>
          <w:rFonts w:ascii="TimesNewRomanPSMT" w:hAnsi="TimesNewRomanPSMT" w:cs="TimesNewRomanPSMT" w:hint="eastAsia"/>
          <w:color w:val="000000"/>
          <w:kern w:val="0"/>
          <w:szCs w:val="21"/>
        </w:rPr>
        <w:t xml:space="preserve">(2011) </w:t>
      </w:r>
      <w:r w:rsidRPr="00E038EE">
        <w:rPr>
          <w:rFonts w:ascii="TimesNewRomanPSMT" w:hAnsi="TimesNewRomanPSMT" w:cs="TimesNewRomanPSMT"/>
          <w:color w:val="000000"/>
          <w:kern w:val="0"/>
          <w:szCs w:val="21"/>
        </w:rPr>
        <w:t xml:space="preserve">Getting out what we put in: productivity of the </w:t>
      </w:r>
    </w:p>
    <w:p w:rsidR="00E038EE" w:rsidRDefault="00E038EE" w:rsidP="001634E4">
      <w:pPr>
        <w:autoSpaceDE w:val="0"/>
        <w:autoSpaceDN w:val="0"/>
        <w:adjustRightInd w:val="0"/>
        <w:ind w:firstLineChars="250" w:firstLine="525"/>
        <w:jc w:val="left"/>
        <w:rPr>
          <w:rFonts w:ascii="TimesNewRomanPSMT" w:hAnsi="TimesNewRomanPSMT" w:cs="TimesNewRomanPSMT"/>
          <w:color w:val="000000"/>
          <w:kern w:val="0"/>
          <w:szCs w:val="21"/>
        </w:rPr>
      </w:pPr>
      <w:r w:rsidRPr="00E038EE">
        <w:rPr>
          <w:rFonts w:ascii="TimesNewRomanPSMT" w:hAnsi="TimesNewRomanPSMT" w:cs="TimesNewRomanPSMT"/>
          <w:color w:val="000000"/>
          <w:kern w:val="0"/>
          <w:szCs w:val="21"/>
        </w:rPr>
        <w:t xml:space="preserve">English NHS. </w:t>
      </w:r>
      <w:r w:rsidRPr="0061314F">
        <w:rPr>
          <w:rFonts w:ascii="TimesNewRomanPSMT" w:hAnsi="TimesNewRomanPSMT" w:cs="TimesNewRomanPSMT"/>
          <w:i/>
          <w:color w:val="000000"/>
          <w:kern w:val="0"/>
          <w:szCs w:val="21"/>
        </w:rPr>
        <w:t>Health Economics, Policy and Law</w:t>
      </w:r>
      <w:r w:rsidR="00303953">
        <w:rPr>
          <w:rFonts w:ascii="TimesNewRomanPSMT" w:hAnsi="TimesNewRomanPSMT" w:cs="TimesNewRomanPSMT" w:hint="eastAsia"/>
          <w:color w:val="000000"/>
          <w:kern w:val="0"/>
          <w:szCs w:val="21"/>
        </w:rPr>
        <w:t>,</w:t>
      </w:r>
      <w:r w:rsidRPr="00E038EE">
        <w:rPr>
          <w:rFonts w:ascii="TimesNewRomanPSMT" w:hAnsi="TimesNewRomanPSMT" w:cs="TimesNewRomanPSMT"/>
          <w:color w:val="000000"/>
          <w:kern w:val="0"/>
          <w:szCs w:val="21"/>
        </w:rPr>
        <w:t xml:space="preserve"> </w:t>
      </w:r>
      <w:r w:rsidR="00D14670">
        <w:rPr>
          <w:rFonts w:ascii="TimesNewRomanPSMT" w:hAnsi="TimesNewRomanPSMT" w:cs="TimesNewRomanPSMT"/>
          <w:color w:val="000000"/>
          <w:kern w:val="0"/>
          <w:szCs w:val="21"/>
        </w:rPr>
        <w:t>V</w:t>
      </w:r>
      <w:r w:rsidR="00D14670">
        <w:rPr>
          <w:rFonts w:ascii="TimesNewRomanPSMT" w:hAnsi="TimesNewRomanPSMT" w:cs="TimesNewRomanPSMT" w:hint="eastAsia"/>
          <w:color w:val="000000"/>
          <w:kern w:val="0"/>
          <w:szCs w:val="21"/>
        </w:rPr>
        <w:t>ol.</w:t>
      </w:r>
      <w:r w:rsidRPr="00E038EE">
        <w:rPr>
          <w:rFonts w:ascii="TimesNewRomanPSMT" w:hAnsi="TimesNewRomanPSMT" w:cs="TimesNewRomanPSMT"/>
          <w:color w:val="000000"/>
          <w:kern w:val="0"/>
          <w:szCs w:val="21"/>
        </w:rPr>
        <w:t>6</w:t>
      </w:r>
      <w:r w:rsidR="00D14670">
        <w:rPr>
          <w:rFonts w:ascii="TimesNewRomanPSMT" w:hAnsi="TimesNewRomanPSMT" w:cs="TimesNewRomanPSMT" w:hint="eastAsia"/>
          <w:color w:val="000000"/>
          <w:kern w:val="0"/>
          <w:szCs w:val="21"/>
        </w:rPr>
        <w:t>,</w:t>
      </w:r>
      <w:r w:rsidRPr="00E038EE">
        <w:rPr>
          <w:rFonts w:ascii="TimesNewRomanPSMT" w:hAnsi="TimesNewRomanPSMT" w:cs="TimesNewRomanPSMT"/>
          <w:color w:val="000000"/>
          <w:kern w:val="0"/>
          <w:szCs w:val="21"/>
        </w:rPr>
        <w:t xml:space="preserve"> </w:t>
      </w:r>
      <w:r w:rsidR="00D14670">
        <w:rPr>
          <w:rFonts w:ascii="TimesNewRomanPSMT" w:hAnsi="TimesNewRomanPSMT" w:cs="TimesNewRomanPSMT" w:hint="eastAsia"/>
          <w:color w:val="000000"/>
          <w:kern w:val="0"/>
          <w:szCs w:val="21"/>
        </w:rPr>
        <w:t>pp.</w:t>
      </w:r>
      <w:r w:rsidRPr="00E038EE">
        <w:rPr>
          <w:rFonts w:ascii="TimesNewRomanPSMT" w:hAnsi="TimesNewRomanPSMT" w:cs="TimesNewRomanPSMT"/>
          <w:color w:val="000000"/>
          <w:kern w:val="0"/>
          <w:szCs w:val="21"/>
        </w:rPr>
        <w:t>313-335.</w:t>
      </w:r>
    </w:p>
    <w:p w:rsidR="00C36E57" w:rsidRDefault="00C36E57" w:rsidP="00C36E57">
      <w:pPr>
        <w:autoSpaceDE w:val="0"/>
        <w:autoSpaceDN w:val="0"/>
        <w:adjustRightInd w:val="0"/>
        <w:jc w:val="left"/>
        <w:rPr>
          <w:rFonts w:ascii="TimesNewRomanPSMT" w:hAnsi="TimesNewRomanPSMT" w:cs="TimesNewRomanPSMT"/>
          <w:color w:val="000000"/>
          <w:kern w:val="0"/>
          <w:szCs w:val="21"/>
        </w:rPr>
      </w:pPr>
      <w:r w:rsidRPr="00C36E57">
        <w:rPr>
          <w:rFonts w:ascii="TimesNewRomanPSMT" w:hAnsi="TimesNewRomanPSMT" w:cs="TimesNewRomanPSMT"/>
          <w:color w:val="000000"/>
          <w:kern w:val="0"/>
          <w:szCs w:val="21"/>
        </w:rPr>
        <w:t>Daniels</w:t>
      </w:r>
      <w:r>
        <w:rPr>
          <w:rFonts w:ascii="TimesNewRomanPSMT" w:hAnsi="TimesNewRomanPSMT" w:cs="TimesNewRomanPSMT" w:hint="eastAsia"/>
          <w:color w:val="000000"/>
          <w:kern w:val="0"/>
          <w:szCs w:val="21"/>
        </w:rPr>
        <w:t xml:space="preserve">, Michael, </w:t>
      </w:r>
      <w:r w:rsidRPr="00C36E57">
        <w:rPr>
          <w:rFonts w:ascii="TimesNewRomanPSMT" w:hAnsi="TimesNewRomanPSMT" w:cs="TimesNewRomanPSMT"/>
          <w:color w:val="000000"/>
          <w:kern w:val="0"/>
          <w:szCs w:val="21"/>
        </w:rPr>
        <w:t xml:space="preserve">and </w:t>
      </w:r>
      <w:r>
        <w:rPr>
          <w:rFonts w:ascii="TimesNewRomanPSMT" w:hAnsi="TimesNewRomanPSMT" w:cs="TimesNewRomanPSMT" w:hint="eastAsia"/>
          <w:color w:val="000000"/>
          <w:kern w:val="0"/>
          <w:szCs w:val="21"/>
        </w:rPr>
        <w:t xml:space="preserve">Joseph </w:t>
      </w:r>
      <w:r w:rsidRPr="00C36E57">
        <w:rPr>
          <w:rFonts w:ascii="TimesNewRomanPSMT" w:hAnsi="TimesNewRomanPSMT" w:cs="TimesNewRomanPSMT"/>
          <w:color w:val="000000"/>
          <w:kern w:val="0"/>
          <w:szCs w:val="21"/>
        </w:rPr>
        <w:t>Hogan</w:t>
      </w:r>
      <w:r>
        <w:rPr>
          <w:rFonts w:ascii="TimesNewRomanPSMT" w:hAnsi="TimesNewRomanPSMT" w:cs="TimesNewRomanPSMT" w:hint="eastAsia"/>
          <w:color w:val="000000"/>
          <w:kern w:val="0"/>
          <w:szCs w:val="21"/>
        </w:rPr>
        <w:t>.</w:t>
      </w:r>
      <w:r w:rsidRPr="00C36E57">
        <w:rPr>
          <w:rFonts w:ascii="TimesNewRomanPSMT" w:hAnsi="TimesNewRomanPSMT" w:cs="TimesNewRomanPSMT"/>
          <w:color w:val="000000"/>
          <w:kern w:val="0"/>
          <w:szCs w:val="21"/>
        </w:rPr>
        <w:t xml:space="preserve"> </w:t>
      </w:r>
      <w:r>
        <w:rPr>
          <w:rFonts w:ascii="TimesNewRomanPSMT" w:hAnsi="TimesNewRomanPSMT" w:cs="TimesNewRomanPSMT" w:hint="eastAsia"/>
          <w:color w:val="000000"/>
          <w:kern w:val="0"/>
          <w:szCs w:val="21"/>
        </w:rPr>
        <w:t>(</w:t>
      </w:r>
      <w:r w:rsidRPr="00C36E57">
        <w:rPr>
          <w:rFonts w:ascii="TimesNewRomanPSMT" w:hAnsi="TimesNewRomanPSMT" w:cs="TimesNewRomanPSMT"/>
          <w:color w:val="000000"/>
          <w:kern w:val="0"/>
          <w:szCs w:val="21"/>
        </w:rPr>
        <w:t>2008</w:t>
      </w:r>
      <w:r>
        <w:rPr>
          <w:rFonts w:ascii="TimesNewRomanPSMT" w:hAnsi="TimesNewRomanPSMT" w:cs="TimesNewRomanPSMT" w:hint="eastAsia"/>
          <w:color w:val="000000"/>
          <w:kern w:val="0"/>
          <w:szCs w:val="21"/>
        </w:rPr>
        <w:t xml:space="preserve">) </w:t>
      </w:r>
      <w:r w:rsidRPr="00C36E57">
        <w:rPr>
          <w:rFonts w:ascii="TimesNewRomanPSMT" w:hAnsi="TimesNewRomanPSMT" w:cs="TimesNewRomanPSMT" w:hint="eastAsia"/>
          <w:i/>
          <w:color w:val="000000"/>
          <w:kern w:val="0"/>
          <w:szCs w:val="21"/>
        </w:rPr>
        <w:t>Missing Data in Lingitudical Studies</w:t>
      </w:r>
      <w:r>
        <w:rPr>
          <w:rFonts w:ascii="TimesNewRomanPSMT" w:hAnsi="TimesNewRomanPSMT" w:cs="TimesNewRomanPSMT" w:hint="eastAsia"/>
          <w:color w:val="000000"/>
          <w:kern w:val="0"/>
          <w:szCs w:val="21"/>
        </w:rPr>
        <w:t>.</w:t>
      </w:r>
    </w:p>
    <w:p w:rsidR="000F37F1" w:rsidRDefault="000F37F1" w:rsidP="000F37F1">
      <w:pPr>
        <w:autoSpaceDE w:val="0"/>
        <w:autoSpaceDN w:val="0"/>
        <w:adjustRightInd w:val="0"/>
        <w:jc w:val="left"/>
        <w:rPr>
          <w:rFonts w:ascii="TimesNewRomanPSMT" w:hAnsi="TimesNewRomanPSMT" w:cs="TimesNewRomanPSMT"/>
          <w:color w:val="000000"/>
          <w:kern w:val="0"/>
          <w:szCs w:val="21"/>
        </w:rPr>
      </w:pPr>
      <w:r>
        <w:rPr>
          <w:rFonts w:ascii="TimesNewRomanPSMT" w:hAnsi="TimesNewRomanPSMT" w:cs="TimesNewRomanPSMT"/>
          <w:color w:val="000000"/>
          <w:kern w:val="0"/>
          <w:szCs w:val="21"/>
        </w:rPr>
        <w:t>Dawson, D., H. Gravelle, M. O’Mahony, A. Street, M. Weale, A. Castelli, R. Jacobs, P. Kind, P.</w:t>
      </w:r>
    </w:p>
    <w:p w:rsidR="00B852A4" w:rsidRDefault="00B852A4" w:rsidP="000F37F1">
      <w:pPr>
        <w:autoSpaceDE w:val="0"/>
        <w:autoSpaceDN w:val="0"/>
        <w:adjustRightInd w:val="0"/>
        <w:jc w:val="left"/>
        <w:rPr>
          <w:rFonts w:ascii="TimesNewRomanPSMT" w:hAnsi="TimesNewRomanPSMT" w:cs="TimesNewRomanPSMT"/>
          <w:color w:val="000000"/>
          <w:kern w:val="0"/>
          <w:szCs w:val="21"/>
        </w:rPr>
      </w:pPr>
      <w:r w:rsidRPr="00B852A4">
        <w:rPr>
          <w:rFonts w:ascii="TimesNewRomanPSMT" w:hAnsi="TimesNewRomanPSMT" w:cs="TimesNewRomanPSMT"/>
          <w:color w:val="000000"/>
          <w:kern w:val="0"/>
          <w:szCs w:val="21"/>
        </w:rPr>
        <w:t>Lesaffre</w:t>
      </w:r>
      <w:r>
        <w:rPr>
          <w:rFonts w:ascii="TimesNewRomanPSMT" w:hAnsi="TimesNewRomanPSMT" w:cs="TimesNewRomanPSMT" w:hint="eastAsia"/>
          <w:color w:val="000000"/>
          <w:kern w:val="0"/>
          <w:szCs w:val="21"/>
        </w:rPr>
        <w:t>, Emmanuel,</w:t>
      </w:r>
      <w:r w:rsidRPr="00B852A4">
        <w:rPr>
          <w:rFonts w:ascii="TimesNewRomanPSMT" w:hAnsi="TimesNewRomanPSMT" w:cs="TimesNewRomanPSMT"/>
          <w:color w:val="000000"/>
          <w:kern w:val="0"/>
          <w:szCs w:val="21"/>
        </w:rPr>
        <w:t xml:space="preserve"> and </w:t>
      </w:r>
      <w:r>
        <w:rPr>
          <w:rFonts w:ascii="TimesNewRomanPSMT" w:hAnsi="TimesNewRomanPSMT" w:cs="TimesNewRomanPSMT" w:hint="eastAsia"/>
          <w:color w:val="000000"/>
          <w:kern w:val="0"/>
          <w:szCs w:val="21"/>
        </w:rPr>
        <w:t xml:space="preserve">Andrew </w:t>
      </w:r>
      <w:r w:rsidRPr="00B852A4">
        <w:rPr>
          <w:rFonts w:ascii="TimesNewRomanPSMT" w:hAnsi="TimesNewRomanPSMT" w:cs="TimesNewRomanPSMT"/>
          <w:color w:val="000000"/>
          <w:kern w:val="0"/>
          <w:szCs w:val="21"/>
        </w:rPr>
        <w:t>Lawson</w:t>
      </w:r>
      <w:r>
        <w:rPr>
          <w:rFonts w:ascii="TimesNewRomanPSMT" w:hAnsi="TimesNewRomanPSMT" w:cs="TimesNewRomanPSMT" w:hint="eastAsia"/>
          <w:color w:val="000000"/>
          <w:kern w:val="0"/>
          <w:szCs w:val="21"/>
        </w:rPr>
        <w:t>.</w:t>
      </w:r>
      <w:r w:rsidRPr="00B852A4">
        <w:rPr>
          <w:rFonts w:ascii="TimesNewRomanPSMT" w:hAnsi="TimesNewRomanPSMT" w:cs="TimesNewRomanPSMT"/>
          <w:color w:val="000000"/>
          <w:kern w:val="0"/>
          <w:szCs w:val="21"/>
        </w:rPr>
        <w:t xml:space="preserve"> (2012)</w:t>
      </w:r>
      <w:r>
        <w:rPr>
          <w:rFonts w:ascii="TimesNewRomanPSMT" w:hAnsi="TimesNewRomanPSMT" w:cs="TimesNewRomanPSMT" w:hint="eastAsia"/>
          <w:color w:val="000000"/>
          <w:kern w:val="0"/>
          <w:szCs w:val="21"/>
        </w:rPr>
        <w:t xml:space="preserve"> </w:t>
      </w:r>
      <w:r w:rsidRPr="00E534BC">
        <w:rPr>
          <w:rFonts w:ascii="TimesNewRomanPSMT" w:hAnsi="TimesNewRomanPSMT" w:cs="TimesNewRomanPSMT" w:hint="eastAsia"/>
          <w:i/>
          <w:color w:val="000000"/>
          <w:kern w:val="0"/>
          <w:szCs w:val="21"/>
        </w:rPr>
        <w:t>Bayesian Biostatistics</w:t>
      </w:r>
      <w:r>
        <w:rPr>
          <w:rFonts w:ascii="TimesNewRomanPSMT" w:hAnsi="TimesNewRomanPSMT" w:cs="TimesNewRomanPSMT" w:hint="eastAsia"/>
          <w:color w:val="000000"/>
          <w:kern w:val="0"/>
          <w:szCs w:val="21"/>
        </w:rPr>
        <w:t>.</w:t>
      </w:r>
    </w:p>
    <w:p w:rsidR="000F37F1" w:rsidRDefault="000F37F1" w:rsidP="000F37F1">
      <w:pPr>
        <w:autoSpaceDE w:val="0"/>
        <w:autoSpaceDN w:val="0"/>
        <w:adjustRightInd w:val="0"/>
        <w:jc w:val="left"/>
        <w:rPr>
          <w:rFonts w:ascii="Times New Roman" w:hAnsi="Times New Roman" w:cs="Times New Roman"/>
          <w:i/>
          <w:iCs/>
          <w:color w:val="000000"/>
          <w:kern w:val="0"/>
          <w:szCs w:val="21"/>
        </w:rPr>
      </w:pPr>
      <w:r>
        <w:rPr>
          <w:rFonts w:ascii="TimesNewRomanPSMT" w:hAnsi="TimesNewRomanPSMT" w:cs="TimesNewRomanPSMT"/>
          <w:color w:val="000000"/>
          <w:kern w:val="0"/>
          <w:szCs w:val="21"/>
        </w:rPr>
        <w:lastRenderedPageBreak/>
        <w:t xml:space="preserve">Loveridge, S. Martin, P. Stevens, and L. Stokes (2005) </w:t>
      </w:r>
      <w:r>
        <w:rPr>
          <w:rFonts w:ascii="Times New Roman" w:hAnsi="Times New Roman" w:cs="Times New Roman"/>
          <w:i/>
          <w:iCs/>
          <w:color w:val="000000"/>
          <w:kern w:val="0"/>
          <w:szCs w:val="21"/>
        </w:rPr>
        <w:t>Developing new approaches to</w:t>
      </w:r>
    </w:p>
    <w:p w:rsidR="000F37F1" w:rsidRDefault="000F37F1" w:rsidP="001634E4">
      <w:pPr>
        <w:autoSpaceDE w:val="0"/>
        <w:autoSpaceDN w:val="0"/>
        <w:adjustRightInd w:val="0"/>
        <w:ind w:leftChars="270" w:left="567"/>
        <w:jc w:val="left"/>
        <w:rPr>
          <w:rFonts w:ascii="TimesNewRomanPSMT" w:hAnsi="TimesNewRomanPSMT" w:cs="TimesNewRomanPSMT"/>
          <w:color w:val="000000"/>
          <w:kern w:val="0"/>
          <w:szCs w:val="21"/>
        </w:rPr>
      </w:pPr>
      <w:r>
        <w:rPr>
          <w:rFonts w:ascii="Times New Roman" w:hAnsi="Times New Roman" w:cs="Times New Roman"/>
          <w:i/>
          <w:iCs/>
          <w:color w:val="000000"/>
          <w:kern w:val="0"/>
          <w:szCs w:val="21"/>
        </w:rPr>
        <w:t>measuring NHS Outputs and productivity</w:t>
      </w:r>
      <w:r>
        <w:rPr>
          <w:rFonts w:ascii="TimesNewRomanPSMT" w:hAnsi="TimesNewRomanPSMT" w:cs="TimesNewRomanPSMT"/>
          <w:color w:val="000000"/>
          <w:kern w:val="0"/>
          <w:szCs w:val="21"/>
        </w:rPr>
        <w:t>.</w:t>
      </w:r>
    </w:p>
    <w:p w:rsidR="000F37F1" w:rsidRDefault="000F37F1" w:rsidP="000F37F1">
      <w:pPr>
        <w:autoSpaceDE w:val="0"/>
        <w:autoSpaceDN w:val="0"/>
        <w:adjustRightInd w:val="0"/>
        <w:jc w:val="left"/>
        <w:rPr>
          <w:rFonts w:ascii="TimesNewRomanPSMT" w:hAnsi="TimesNewRomanPSMT" w:cs="TimesNewRomanPSMT"/>
          <w:color w:val="000000"/>
          <w:kern w:val="0"/>
          <w:szCs w:val="21"/>
        </w:rPr>
      </w:pPr>
      <w:r>
        <w:rPr>
          <w:rFonts w:ascii="TimesNewRomanPSMT" w:hAnsi="TimesNewRomanPSMT" w:cs="TimesNewRomanPSMT"/>
          <w:color w:val="000000"/>
          <w:kern w:val="0"/>
          <w:szCs w:val="21"/>
        </w:rPr>
        <w:t xml:space="preserve">EUROSTAT (2001) </w:t>
      </w:r>
      <w:r>
        <w:rPr>
          <w:rFonts w:ascii="Times New Roman" w:hAnsi="Times New Roman" w:cs="Times New Roman"/>
          <w:i/>
          <w:iCs/>
          <w:color w:val="000000"/>
          <w:kern w:val="0"/>
          <w:szCs w:val="21"/>
        </w:rPr>
        <w:t>Handbook on price and volume measures in national accounts</w:t>
      </w:r>
      <w:r>
        <w:rPr>
          <w:rFonts w:ascii="TimesNewRomanPSMT" w:hAnsi="TimesNewRomanPSMT" w:cs="TimesNewRomanPSMT"/>
          <w:color w:val="000000"/>
          <w:kern w:val="0"/>
          <w:szCs w:val="21"/>
        </w:rPr>
        <w:t>.</w:t>
      </w:r>
    </w:p>
    <w:p w:rsidR="000F37F1" w:rsidRDefault="000F37F1" w:rsidP="001634E4">
      <w:pPr>
        <w:autoSpaceDE w:val="0"/>
        <w:autoSpaceDN w:val="0"/>
        <w:adjustRightInd w:val="0"/>
        <w:ind w:leftChars="270" w:left="567"/>
        <w:jc w:val="left"/>
        <w:rPr>
          <w:rFonts w:ascii="Times New Roman" w:hAnsi="Times New Roman" w:cs="Times New Roman"/>
          <w:i/>
          <w:iCs/>
          <w:color w:val="000000"/>
          <w:kern w:val="0"/>
          <w:szCs w:val="21"/>
        </w:rPr>
      </w:pPr>
      <w:r>
        <w:rPr>
          <w:rFonts w:ascii="TimesNewRomanPSMT" w:hAnsi="TimesNewRomanPSMT" w:cs="TimesNewRomanPSMT"/>
          <w:color w:val="000000"/>
          <w:kern w:val="0"/>
          <w:szCs w:val="21"/>
        </w:rPr>
        <w:t xml:space="preserve">UK Department of Health (2005) </w:t>
      </w:r>
      <w:r>
        <w:rPr>
          <w:rFonts w:ascii="Times New Roman" w:hAnsi="Times New Roman" w:cs="Times New Roman"/>
          <w:i/>
          <w:iCs/>
          <w:color w:val="000000"/>
          <w:kern w:val="0"/>
          <w:szCs w:val="21"/>
        </w:rPr>
        <w:t>Healthcare Output and Productivity: Accounting for Quality</w:t>
      </w:r>
      <w:r w:rsidR="001634E4">
        <w:rPr>
          <w:rFonts w:ascii="Times New Roman" w:hAnsi="Times New Roman" w:cs="Times New Roman" w:hint="eastAsia"/>
          <w:i/>
          <w:iCs/>
          <w:color w:val="000000"/>
          <w:kern w:val="0"/>
          <w:szCs w:val="21"/>
        </w:rPr>
        <w:t xml:space="preserve"> </w:t>
      </w:r>
      <w:r>
        <w:rPr>
          <w:rFonts w:ascii="Times New Roman" w:hAnsi="Times New Roman" w:cs="Times New Roman"/>
          <w:i/>
          <w:iCs/>
          <w:color w:val="000000"/>
          <w:kern w:val="0"/>
          <w:szCs w:val="21"/>
        </w:rPr>
        <w:t>Change.</w:t>
      </w:r>
    </w:p>
    <w:p w:rsidR="004A59C0" w:rsidRPr="004A59C0" w:rsidRDefault="004A59C0" w:rsidP="000F37F1">
      <w:pPr>
        <w:autoSpaceDE w:val="0"/>
        <w:autoSpaceDN w:val="0"/>
        <w:adjustRightInd w:val="0"/>
        <w:jc w:val="left"/>
        <w:rPr>
          <w:rFonts w:ascii="Times New Roman" w:hAnsi="Times New Roman" w:cs="Times New Roman"/>
          <w:iCs/>
          <w:color w:val="000000"/>
          <w:kern w:val="0"/>
          <w:szCs w:val="21"/>
        </w:rPr>
      </w:pPr>
      <w:r w:rsidRPr="004A59C0">
        <w:rPr>
          <w:rFonts w:ascii="Times New Roman" w:hAnsi="Times New Roman" w:cs="Times New Roman"/>
          <w:iCs/>
          <w:color w:val="000000"/>
          <w:kern w:val="0"/>
          <w:szCs w:val="21"/>
        </w:rPr>
        <w:t xml:space="preserve">UK Office for National Statistics. (2008) </w:t>
      </w:r>
      <w:r w:rsidRPr="00B462E4">
        <w:rPr>
          <w:rFonts w:ascii="Times New Roman" w:hAnsi="Times New Roman" w:cs="Times New Roman"/>
          <w:i/>
          <w:iCs/>
          <w:color w:val="000000"/>
          <w:kern w:val="0"/>
          <w:szCs w:val="21"/>
        </w:rPr>
        <w:t>Public Service Output, Input &amp; Productivity</w:t>
      </w:r>
      <w:r w:rsidRPr="004A59C0">
        <w:rPr>
          <w:rFonts w:ascii="Times New Roman" w:hAnsi="Times New Roman" w:cs="Times New Roman"/>
          <w:iCs/>
          <w:color w:val="000000"/>
          <w:kern w:val="0"/>
          <w:szCs w:val="21"/>
        </w:rPr>
        <w:t>.</w:t>
      </w:r>
    </w:p>
    <w:p w:rsidR="004A59C0" w:rsidRDefault="00007D3F" w:rsidP="001B47A8">
      <w:pPr>
        <w:autoSpaceDE w:val="0"/>
        <w:autoSpaceDN w:val="0"/>
        <w:adjustRightInd w:val="0"/>
        <w:ind w:left="567" w:hangingChars="270" w:hanging="567"/>
        <w:jc w:val="left"/>
        <w:rPr>
          <w:rFonts w:ascii="Times New Roman" w:hAnsi="Times New Roman" w:cs="Times New Roman"/>
          <w:iCs/>
          <w:color w:val="000000"/>
          <w:kern w:val="0"/>
          <w:szCs w:val="21"/>
        </w:rPr>
      </w:pPr>
      <w:r>
        <w:rPr>
          <w:rFonts w:ascii="Times New Roman" w:hAnsi="Times New Roman" w:cs="Times New Roman" w:hint="eastAsia"/>
          <w:iCs/>
          <w:color w:val="000000"/>
          <w:kern w:val="0"/>
          <w:szCs w:val="21"/>
        </w:rPr>
        <w:t xml:space="preserve">Wooldridge, Jeffrey. (2005) Simple Solutions to the Initial </w:t>
      </w:r>
      <w:r w:rsidR="00B60DF8">
        <w:rPr>
          <w:rFonts w:ascii="Times New Roman" w:hAnsi="Times New Roman" w:cs="Times New Roman" w:hint="eastAsia"/>
          <w:iCs/>
          <w:color w:val="000000"/>
          <w:kern w:val="0"/>
          <w:szCs w:val="21"/>
        </w:rPr>
        <w:t xml:space="preserve">Conditions Problem in Dynamic, Nonlinear Panel Data Models with Unobserved Heterogeneity. </w:t>
      </w:r>
      <w:r w:rsidR="00B60DF8" w:rsidRPr="001B47A8">
        <w:rPr>
          <w:rFonts w:ascii="Times New Roman" w:hAnsi="Times New Roman" w:cs="Times New Roman" w:hint="eastAsia"/>
          <w:i/>
          <w:iCs/>
          <w:color w:val="000000"/>
          <w:kern w:val="0"/>
          <w:szCs w:val="21"/>
        </w:rPr>
        <w:t>Journal of Applied Econometrics</w:t>
      </w:r>
      <w:r w:rsidR="00B60DF8">
        <w:rPr>
          <w:rFonts w:ascii="Times New Roman" w:hAnsi="Times New Roman" w:cs="Times New Roman" w:hint="eastAsia"/>
          <w:iCs/>
          <w:color w:val="000000"/>
          <w:kern w:val="0"/>
          <w:szCs w:val="21"/>
        </w:rPr>
        <w:t>, 20: 39-54.</w:t>
      </w:r>
    </w:p>
    <w:p w:rsidR="00B60DF8" w:rsidRPr="00007D3F" w:rsidRDefault="00B60DF8" w:rsidP="000F37F1">
      <w:pPr>
        <w:autoSpaceDE w:val="0"/>
        <w:autoSpaceDN w:val="0"/>
        <w:adjustRightInd w:val="0"/>
        <w:jc w:val="left"/>
        <w:rPr>
          <w:rFonts w:ascii="Times New Roman" w:hAnsi="Times New Roman" w:cs="Times New Roman"/>
          <w:iCs/>
          <w:color w:val="000000"/>
          <w:kern w:val="0"/>
          <w:szCs w:val="21"/>
        </w:rPr>
      </w:pPr>
    </w:p>
    <w:p w:rsidR="004A59C0" w:rsidRDefault="004A59C0" w:rsidP="000F37F1">
      <w:pPr>
        <w:autoSpaceDE w:val="0"/>
        <w:autoSpaceDN w:val="0"/>
        <w:adjustRightInd w:val="0"/>
        <w:jc w:val="left"/>
        <w:rPr>
          <w:rFonts w:ascii="Times New Roman" w:hAnsi="Times New Roman" w:cs="Times New Roman"/>
          <w:i/>
          <w:iCs/>
          <w:color w:val="000000"/>
          <w:kern w:val="0"/>
          <w:szCs w:val="21"/>
        </w:rPr>
      </w:pPr>
    </w:p>
    <w:p w:rsidR="004A59C0" w:rsidRDefault="004A59C0" w:rsidP="000F37F1">
      <w:pPr>
        <w:autoSpaceDE w:val="0"/>
        <w:autoSpaceDN w:val="0"/>
        <w:adjustRightInd w:val="0"/>
        <w:jc w:val="left"/>
        <w:rPr>
          <w:rFonts w:ascii="Times New Roman" w:hAnsi="Times New Roman" w:cs="Times New Roman"/>
          <w:i/>
          <w:iCs/>
          <w:color w:val="000000"/>
          <w:kern w:val="0"/>
          <w:szCs w:val="21"/>
        </w:rPr>
      </w:pPr>
    </w:p>
    <w:sectPr w:rsidR="004A59C0">
      <w:headerReference w:type="default"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51" w:rsidRDefault="006C7951" w:rsidP="00DE2071">
      <w:r>
        <w:separator/>
      </w:r>
    </w:p>
  </w:endnote>
  <w:endnote w:type="continuationSeparator" w:id="0">
    <w:p w:rsidR="006C7951" w:rsidRDefault="006C795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9023"/>
      <w:docPartObj>
        <w:docPartGallery w:val="Page Numbers (Bottom of Page)"/>
        <w:docPartUnique/>
      </w:docPartObj>
    </w:sdtPr>
    <w:sdtEndPr/>
    <w:sdtContent>
      <w:p w:rsidR="00D3116A" w:rsidRDefault="00D3116A">
        <w:pPr>
          <w:pStyle w:val="a5"/>
          <w:jc w:val="center"/>
        </w:pPr>
        <w:r>
          <w:fldChar w:fldCharType="begin"/>
        </w:r>
        <w:r>
          <w:instrText>PAGE   \* MERGEFORMAT</w:instrText>
        </w:r>
        <w:r>
          <w:fldChar w:fldCharType="separate"/>
        </w:r>
        <w:r w:rsidR="007A3BA0" w:rsidRPr="007A3BA0">
          <w:rPr>
            <w:noProof/>
            <w:lang w:val="ja-JP"/>
          </w:rPr>
          <w:t>2</w:t>
        </w:r>
        <w:r>
          <w:fldChar w:fldCharType="end"/>
        </w:r>
      </w:p>
    </w:sdtContent>
  </w:sdt>
  <w:p w:rsidR="00D3116A" w:rsidRDefault="00D311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51" w:rsidRDefault="006C7951" w:rsidP="00DE2071">
      <w:r>
        <w:separator/>
      </w:r>
    </w:p>
  </w:footnote>
  <w:footnote w:type="continuationSeparator" w:id="0">
    <w:p w:rsidR="006C7951" w:rsidRDefault="006C795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6A" w:rsidRPr="00DE2071" w:rsidRDefault="00D3116A">
    <w:pPr>
      <w:pStyle w:val="a3"/>
      <w:rPr>
        <w:rFonts w:asciiTheme="minorEastAsia" w:hAnsiTheme="minorEastAsia"/>
      </w:rPr>
    </w:pPr>
    <w:r w:rsidRPr="00DE2071">
      <w:rPr>
        <w:rFonts w:asciiTheme="minorEastAsia" w:hAnsiTheme="minorEastAsia" w:hint="eastAsia"/>
      </w:rPr>
      <w:t>【機密性2情報】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6B3B"/>
    <w:multiLevelType w:val="hybridMultilevel"/>
    <w:tmpl w:val="55BC685E"/>
    <w:lvl w:ilvl="0" w:tplc="F68CE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4C1AC0"/>
    <w:multiLevelType w:val="hybridMultilevel"/>
    <w:tmpl w:val="C3E248CC"/>
    <w:lvl w:ilvl="0" w:tplc="A6E2D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76"/>
    <w:rsid w:val="00007D3F"/>
    <w:rsid w:val="0002429A"/>
    <w:rsid w:val="00030ACF"/>
    <w:rsid w:val="00033CD5"/>
    <w:rsid w:val="000528B4"/>
    <w:rsid w:val="00086AA9"/>
    <w:rsid w:val="00087610"/>
    <w:rsid w:val="0009510E"/>
    <w:rsid w:val="000F2CCB"/>
    <w:rsid w:val="000F37F1"/>
    <w:rsid w:val="00113CAA"/>
    <w:rsid w:val="0015223F"/>
    <w:rsid w:val="001562C3"/>
    <w:rsid w:val="001634E4"/>
    <w:rsid w:val="00170F5D"/>
    <w:rsid w:val="00172B82"/>
    <w:rsid w:val="001745A2"/>
    <w:rsid w:val="001836D1"/>
    <w:rsid w:val="001B47A8"/>
    <w:rsid w:val="001C74C8"/>
    <w:rsid w:val="001E1233"/>
    <w:rsid w:val="001E227A"/>
    <w:rsid w:val="001E5B85"/>
    <w:rsid w:val="002034A7"/>
    <w:rsid w:val="00231E3C"/>
    <w:rsid w:val="00296CAE"/>
    <w:rsid w:val="002A165C"/>
    <w:rsid w:val="002A45E8"/>
    <w:rsid w:val="002C363C"/>
    <w:rsid w:val="00300524"/>
    <w:rsid w:val="00303953"/>
    <w:rsid w:val="003077CD"/>
    <w:rsid w:val="0031536D"/>
    <w:rsid w:val="00372BE4"/>
    <w:rsid w:val="00393933"/>
    <w:rsid w:val="00393D95"/>
    <w:rsid w:val="003A082F"/>
    <w:rsid w:val="00477843"/>
    <w:rsid w:val="004836BB"/>
    <w:rsid w:val="004A59C0"/>
    <w:rsid w:val="004B293E"/>
    <w:rsid w:val="004C01E6"/>
    <w:rsid w:val="004C70F5"/>
    <w:rsid w:val="004F1006"/>
    <w:rsid w:val="00502E42"/>
    <w:rsid w:val="00525883"/>
    <w:rsid w:val="005467BB"/>
    <w:rsid w:val="00556379"/>
    <w:rsid w:val="005742BC"/>
    <w:rsid w:val="005A2A79"/>
    <w:rsid w:val="005C4857"/>
    <w:rsid w:val="005E727C"/>
    <w:rsid w:val="0061314F"/>
    <w:rsid w:val="00614D3C"/>
    <w:rsid w:val="00617A6C"/>
    <w:rsid w:val="0062127A"/>
    <w:rsid w:val="00621A49"/>
    <w:rsid w:val="00622A9E"/>
    <w:rsid w:val="00682ABB"/>
    <w:rsid w:val="006A2A38"/>
    <w:rsid w:val="006A6914"/>
    <w:rsid w:val="006C1DAC"/>
    <w:rsid w:val="006C6088"/>
    <w:rsid w:val="006C7951"/>
    <w:rsid w:val="006D2EF4"/>
    <w:rsid w:val="006E041F"/>
    <w:rsid w:val="007021DC"/>
    <w:rsid w:val="00702F76"/>
    <w:rsid w:val="0071389A"/>
    <w:rsid w:val="00715BA2"/>
    <w:rsid w:val="00725A39"/>
    <w:rsid w:val="00730AB6"/>
    <w:rsid w:val="00731469"/>
    <w:rsid w:val="00750389"/>
    <w:rsid w:val="00753F88"/>
    <w:rsid w:val="007615A8"/>
    <w:rsid w:val="0076665D"/>
    <w:rsid w:val="00795150"/>
    <w:rsid w:val="007A3BA0"/>
    <w:rsid w:val="007A4B0A"/>
    <w:rsid w:val="007E2C19"/>
    <w:rsid w:val="007E535F"/>
    <w:rsid w:val="00812E9F"/>
    <w:rsid w:val="00814C25"/>
    <w:rsid w:val="008323C2"/>
    <w:rsid w:val="008353F6"/>
    <w:rsid w:val="00835A4E"/>
    <w:rsid w:val="00862D05"/>
    <w:rsid w:val="00862EDE"/>
    <w:rsid w:val="00881B24"/>
    <w:rsid w:val="00886A41"/>
    <w:rsid w:val="008B3A5E"/>
    <w:rsid w:val="008B6B79"/>
    <w:rsid w:val="009500D7"/>
    <w:rsid w:val="0095761D"/>
    <w:rsid w:val="00966BE6"/>
    <w:rsid w:val="0099300C"/>
    <w:rsid w:val="009948FD"/>
    <w:rsid w:val="009A0A49"/>
    <w:rsid w:val="009E20E5"/>
    <w:rsid w:val="00A01412"/>
    <w:rsid w:val="00A01A3B"/>
    <w:rsid w:val="00A063CE"/>
    <w:rsid w:val="00A13235"/>
    <w:rsid w:val="00A350F2"/>
    <w:rsid w:val="00A56BB7"/>
    <w:rsid w:val="00A61D14"/>
    <w:rsid w:val="00A65280"/>
    <w:rsid w:val="00A67119"/>
    <w:rsid w:val="00A7272B"/>
    <w:rsid w:val="00A95A53"/>
    <w:rsid w:val="00AA1A7A"/>
    <w:rsid w:val="00AA3579"/>
    <w:rsid w:val="00AC142F"/>
    <w:rsid w:val="00AC78D5"/>
    <w:rsid w:val="00AF3F0A"/>
    <w:rsid w:val="00AF6C04"/>
    <w:rsid w:val="00B2797C"/>
    <w:rsid w:val="00B37D42"/>
    <w:rsid w:val="00B41F2B"/>
    <w:rsid w:val="00B462E4"/>
    <w:rsid w:val="00B50DA1"/>
    <w:rsid w:val="00B60DF8"/>
    <w:rsid w:val="00B67909"/>
    <w:rsid w:val="00B852A4"/>
    <w:rsid w:val="00B92677"/>
    <w:rsid w:val="00B93F3B"/>
    <w:rsid w:val="00BA1507"/>
    <w:rsid w:val="00BA2E3A"/>
    <w:rsid w:val="00BA4E59"/>
    <w:rsid w:val="00BA6BC7"/>
    <w:rsid w:val="00BF5C57"/>
    <w:rsid w:val="00BF7250"/>
    <w:rsid w:val="00C0649A"/>
    <w:rsid w:val="00C1277F"/>
    <w:rsid w:val="00C3236A"/>
    <w:rsid w:val="00C36E57"/>
    <w:rsid w:val="00C43E17"/>
    <w:rsid w:val="00C44623"/>
    <w:rsid w:val="00C572E6"/>
    <w:rsid w:val="00C6531B"/>
    <w:rsid w:val="00C65BFD"/>
    <w:rsid w:val="00C67E7B"/>
    <w:rsid w:val="00C700B2"/>
    <w:rsid w:val="00C70907"/>
    <w:rsid w:val="00CA10FC"/>
    <w:rsid w:val="00CA1E84"/>
    <w:rsid w:val="00CA797B"/>
    <w:rsid w:val="00CB2155"/>
    <w:rsid w:val="00CF3D81"/>
    <w:rsid w:val="00CF4214"/>
    <w:rsid w:val="00D0091E"/>
    <w:rsid w:val="00D07A68"/>
    <w:rsid w:val="00D14052"/>
    <w:rsid w:val="00D14670"/>
    <w:rsid w:val="00D21C6A"/>
    <w:rsid w:val="00D3116A"/>
    <w:rsid w:val="00D42B7B"/>
    <w:rsid w:val="00D6731C"/>
    <w:rsid w:val="00D75E42"/>
    <w:rsid w:val="00DA5463"/>
    <w:rsid w:val="00DC0FC1"/>
    <w:rsid w:val="00DE2071"/>
    <w:rsid w:val="00DF6B12"/>
    <w:rsid w:val="00E00E8A"/>
    <w:rsid w:val="00E038EE"/>
    <w:rsid w:val="00E213C2"/>
    <w:rsid w:val="00E3609A"/>
    <w:rsid w:val="00E378F0"/>
    <w:rsid w:val="00E534BC"/>
    <w:rsid w:val="00E57C26"/>
    <w:rsid w:val="00E83946"/>
    <w:rsid w:val="00E84495"/>
    <w:rsid w:val="00E90DFD"/>
    <w:rsid w:val="00E9520F"/>
    <w:rsid w:val="00E9672E"/>
    <w:rsid w:val="00EB2508"/>
    <w:rsid w:val="00EC5848"/>
    <w:rsid w:val="00ED5163"/>
    <w:rsid w:val="00F06DD2"/>
    <w:rsid w:val="00F33FE9"/>
    <w:rsid w:val="00F645E2"/>
    <w:rsid w:val="00FA3177"/>
    <w:rsid w:val="00FA7868"/>
    <w:rsid w:val="00FB3A6F"/>
    <w:rsid w:val="00FE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B92677"/>
    <w:pPr>
      <w:ind w:leftChars="400" w:left="840"/>
    </w:pPr>
  </w:style>
  <w:style w:type="character" w:styleId="a8">
    <w:name w:val="Placeholder Text"/>
    <w:basedOn w:val="a0"/>
    <w:uiPriority w:val="99"/>
    <w:semiHidden/>
    <w:rsid w:val="00ED5163"/>
    <w:rPr>
      <w:color w:val="808080"/>
    </w:rPr>
  </w:style>
  <w:style w:type="paragraph" w:styleId="a9">
    <w:name w:val="Balloon Text"/>
    <w:basedOn w:val="a"/>
    <w:link w:val="aa"/>
    <w:uiPriority w:val="99"/>
    <w:semiHidden/>
    <w:unhideWhenUsed/>
    <w:rsid w:val="00ED51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51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B92677"/>
    <w:pPr>
      <w:ind w:leftChars="400" w:left="840"/>
    </w:pPr>
  </w:style>
  <w:style w:type="character" w:styleId="a8">
    <w:name w:val="Placeholder Text"/>
    <w:basedOn w:val="a0"/>
    <w:uiPriority w:val="99"/>
    <w:semiHidden/>
    <w:rsid w:val="00ED5163"/>
    <w:rPr>
      <w:color w:val="808080"/>
    </w:rPr>
  </w:style>
  <w:style w:type="paragraph" w:styleId="a9">
    <w:name w:val="Balloon Text"/>
    <w:basedOn w:val="a"/>
    <w:link w:val="aa"/>
    <w:uiPriority w:val="99"/>
    <w:semiHidden/>
    <w:unhideWhenUsed/>
    <w:rsid w:val="00ED51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5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815</Words>
  <Characters>4651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茂（統括官（分析担当））</dc:creator>
  <cp:lastModifiedBy>　</cp:lastModifiedBy>
  <cp:revision>24</cp:revision>
  <dcterms:created xsi:type="dcterms:W3CDTF">2014-03-12T05:45:00Z</dcterms:created>
  <dcterms:modified xsi:type="dcterms:W3CDTF">2014-03-24T08:17:00Z</dcterms:modified>
</cp:coreProperties>
</file>